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03E7" w14:textId="77777777" w:rsidR="006527B3" w:rsidRPr="006527B3" w:rsidRDefault="006527B3" w:rsidP="006527B3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7CBE"/>
          <w:spacing w:val="-15"/>
          <w:kern w:val="36"/>
          <w:sz w:val="50"/>
          <w:szCs w:val="50"/>
          <w:lang w:eastAsia="en-GB"/>
          <w14:ligatures w14:val="none"/>
        </w:rPr>
      </w:pPr>
      <w:r w:rsidRPr="006527B3">
        <w:rPr>
          <w:rFonts w:ascii="Arial" w:eastAsia="Times New Roman" w:hAnsi="Arial" w:cs="Arial"/>
          <w:b/>
          <w:bCs/>
          <w:color w:val="007CBE"/>
          <w:spacing w:val="-15"/>
          <w:kern w:val="36"/>
          <w:sz w:val="50"/>
          <w:szCs w:val="50"/>
          <w:lang w:eastAsia="en-GB"/>
          <w14:ligatures w14:val="none"/>
        </w:rPr>
        <w:t>CT coronary angiography in patients with stable chest pain - a referral audit</w:t>
      </w:r>
    </w:p>
    <w:p w14:paraId="14C99E75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Descriptor: </w:t>
      </w:r>
    </w:p>
    <w:p w14:paraId="15D09DDD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An audit of whether requesting of CT coronary angiography in investigating patients with stable chest pain met NICE clinical guidelines [1].</w:t>
      </w:r>
    </w:p>
    <w:p w14:paraId="7F44D2F7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Background: </w:t>
      </w:r>
    </w:p>
    <w:p w14:paraId="0E5E49F7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CT coronary angiography is increasingly used to investigate people with suspected stable coronary artery disease. NICE clinical guidelines recommend CT coronary angiography as first-line diagnostic investigation in patients whose stable angina cannot be diagnosed or excluded based on clinical assessment alone and an estimated likelihood of coronary artery disease (CAD) of 10-29%.</w:t>
      </w:r>
    </w:p>
    <w:p w14:paraId="52484280" w14:textId="77777777" w:rsidR="006527B3" w:rsidRDefault="006527B3" w:rsidP="006527B3">
      <w:pPr>
        <w:pStyle w:val="Heading2"/>
        <w:shd w:val="clear" w:color="auto" w:fill="FFFFFF"/>
        <w:spacing w:before="0" w:after="180"/>
        <w:rPr>
          <w:rFonts w:ascii="Arial" w:hAnsi="Arial" w:cs="Arial"/>
          <w:color w:val="007CBE"/>
          <w:sz w:val="36"/>
          <w:szCs w:val="36"/>
        </w:rPr>
      </w:pPr>
      <w:r>
        <w:rPr>
          <w:rFonts w:ascii="Arial" w:hAnsi="Arial" w:cs="Arial"/>
          <w:color w:val="007CBE"/>
        </w:rPr>
        <w:t>The Cycle</w:t>
      </w:r>
    </w:p>
    <w:p w14:paraId="392C0410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The standard: </w:t>
      </w:r>
    </w:p>
    <w:p w14:paraId="68A4B24D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Patients referred to for CT coronary angiography should have been assessed accurately by physicians and meet the NICE criteria for referral (Estimated risk of CAD 10-29%).</w:t>
      </w:r>
    </w:p>
    <w:p w14:paraId="115921AC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Target: </w:t>
      </w:r>
    </w:p>
    <w:p w14:paraId="236D73F7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90% compliance.</w:t>
      </w:r>
    </w:p>
    <w:p w14:paraId="39069236" w14:textId="77777777" w:rsidR="006527B3" w:rsidRDefault="006527B3" w:rsidP="006527B3">
      <w:pPr>
        <w:pStyle w:val="Heading2"/>
        <w:shd w:val="clear" w:color="auto" w:fill="FFFFFF"/>
        <w:spacing w:before="0" w:after="180"/>
        <w:rPr>
          <w:rFonts w:ascii="Arial" w:hAnsi="Arial" w:cs="Arial"/>
          <w:color w:val="007CBE"/>
          <w:sz w:val="36"/>
          <w:szCs w:val="36"/>
        </w:rPr>
      </w:pPr>
      <w:r>
        <w:rPr>
          <w:rFonts w:ascii="Arial" w:hAnsi="Arial" w:cs="Arial"/>
          <w:color w:val="007CBE"/>
        </w:rPr>
        <w:t xml:space="preserve">Assess local </w:t>
      </w:r>
      <w:proofErr w:type="gramStart"/>
      <w:r>
        <w:rPr>
          <w:rFonts w:ascii="Arial" w:hAnsi="Arial" w:cs="Arial"/>
          <w:color w:val="007CBE"/>
        </w:rPr>
        <w:t>practice</w:t>
      </w:r>
      <w:proofErr w:type="gramEnd"/>
    </w:p>
    <w:p w14:paraId="4C240665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Indicators: </w:t>
      </w:r>
    </w:p>
    <w:p w14:paraId="1D16364C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Proportion of patients referred for CT coronary angiography who have a10-29% risk of coronary artery disease.</w:t>
      </w:r>
    </w:p>
    <w:p w14:paraId="782DC0C5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Data items to be collected: </w:t>
      </w:r>
    </w:p>
    <w:p w14:paraId="0E494A7E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- Use Radiology Information Systems to identify patients who were referred for CT coronary angiography</w:t>
      </w:r>
    </w:p>
    <w:p w14:paraId="2CBB803E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- Use referral and clinic letters to find:</w:t>
      </w:r>
    </w:p>
    <w:p w14:paraId="30339467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   • Age</w:t>
      </w:r>
    </w:p>
    <w:p w14:paraId="45D11101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   • Gender</w:t>
      </w:r>
    </w:p>
    <w:p w14:paraId="00862830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   • Risk factors for ischemic heart disease (diabetes, smoking,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hyperlipidaemia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and hypertension)</w:t>
      </w:r>
    </w:p>
    <w:p w14:paraId="35C05E3A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   • Type of chest pain (constricting, related to exertion, relieved by rest)</w:t>
      </w:r>
    </w:p>
    <w:p w14:paraId="2FEBB808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lastRenderedPageBreak/>
        <w:t>   • Presence of atypical features of chest pain (prolonged, non-exertional)</w:t>
      </w:r>
    </w:p>
    <w:p w14:paraId="00FFCB80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   • Family history of premature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Coronary Artery Disease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and any documented relative investigations like myocardial perfusion scans</w:t>
      </w:r>
    </w:p>
    <w:p w14:paraId="702E90A4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Suggested number: </w:t>
      </w:r>
    </w:p>
    <w:p w14:paraId="456FC4B0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30- 50 patients.</w:t>
      </w:r>
    </w:p>
    <w:p w14:paraId="6BD96289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Suggestions for change if target not met: </w:t>
      </w:r>
    </w:p>
    <w:p w14:paraId="0DA6105E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• Create mandatory fields on electronic requests to ensure all risk factors are entered by clinicians</w:t>
      </w:r>
    </w:p>
    <w:p w14:paraId="36CE9D85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• Risk stratification confirmed by the accepting radiologist and discussion with the clinicians on alternative tests when appropriate</w:t>
      </w:r>
    </w:p>
    <w:p w14:paraId="2F7DDA13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Resources: </w:t>
      </w:r>
    </w:p>
    <w:p w14:paraId="0A23CDD1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• Questionnaire to collect data</w:t>
      </w:r>
    </w:p>
    <w:p w14:paraId="1A9B8646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• Excel spreadsheet to analyse data</w:t>
      </w:r>
    </w:p>
    <w:p w14:paraId="5B7AD982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• 6 hours work</w:t>
      </w:r>
    </w:p>
    <w:p w14:paraId="12F74545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• Estimated CAD risk is calculated using the table attached and recommended by NICE guidelines</w:t>
      </w:r>
    </w:p>
    <w:p w14:paraId="332910E7" w14:textId="287861AB" w:rsidR="006527B3" w:rsidRDefault="006527B3" w:rsidP="006527B3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noProof/>
          <w:color w:val="343434"/>
          <w:sz w:val="23"/>
          <w:szCs w:val="23"/>
        </w:rPr>
        <w:drawing>
          <wp:inline distT="0" distB="0" distL="0" distR="0" wp14:anchorId="173985AB" wp14:editId="04861FA3">
            <wp:extent cx="285750" cy="352425"/>
            <wp:effectExtent l="0" t="0" r="0" b="0"/>
            <wp:docPr id="4766415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Hyperlink"/>
            <w:rFonts w:ascii="Arial" w:hAnsi="Arial" w:cs="Arial"/>
            <w:b/>
            <w:bCs/>
            <w:color w:val="007CBE"/>
            <w:sz w:val="23"/>
            <w:szCs w:val="23"/>
          </w:rPr>
          <w:t>254_table.doc</w:t>
        </w:r>
      </w:hyperlink>
      <w:r>
        <w:rPr>
          <w:rStyle w:val="file-type"/>
          <w:rFonts w:ascii="Arial" w:hAnsi="Arial" w:cs="Arial"/>
          <w:color w:val="343434"/>
          <w:sz w:val="23"/>
          <w:szCs w:val="23"/>
        </w:rPr>
        <w:t>WORD</w:t>
      </w:r>
      <w:r>
        <w:rPr>
          <w:rStyle w:val="file-meta"/>
          <w:rFonts w:ascii="Arial" w:hAnsi="Arial" w:cs="Arial"/>
          <w:color w:val="343434"/>
          <w:sz w:val="23"/>
          <w:szCs w:val="23"/>
        </w:rPr>
        <w:t> - </w:t>
      </w:r>
      <w:r>
        <w:rPr>
          <w:rStyle w:val="file-size"/>
          <w:rFonts w:ascii="Arial" w:hAnsi="Arial" w:cs="Arial"/>
          <w:color w:val="343434"/>
          <w:sz w:val="23"/>
          <w:szCs w:val="23"/>
        </w:rPr>
        <w:t>188 KB</w:t>
      </w:r>
    </w:p>
    <w:p w14:paraId="497A4788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References: </w:t>
      </w:r>
    </w:p>
    <w:p w14:paraId="73170F89" w14:textId="77777777" w:rsidR="006527B3" w:rsidRDefault="006527B3" w:rsidP="006527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NICE clinical guideline 95 “Assessment and diagnosis of recent onset chest pain or discomfort of suspected cardiac origin”, March 2010 updated November 2016  </w:t>
      </w:r>
      <w:hyperlink r:id="rId7" w:tgtFrame="_blank" w:history="1">
        <w:r>
          <w:rPr>
            <w:rStyle w:val="Hyperlink"/>
            <w:rFonts w:ascii="Arial" w:hAnsi="Arial" w:cs="Arial"/>
            <w:color w:val="007CBE"/>
            <w:sz w:val="23"/>
            <w:szCs w:val="23"/>
          </w:rPr>
          <w:t>https://www.nice.org.uk/guidance/cg95</w:t>
        </w:r>
      </w:hyperlink>
    </w:p>
    <w:p w14:paraId="56BBE085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Editor's comments: </w:t>
      </w:r>
    </w:p>
    <w:p w14:paraId="00A141EF" w14:textId="77777777" w:rsidR="006527B3" w:rsidRDefault="006527B3" w:rsidP="006527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If other radiological investigation (such as myocardial perfusion scans or Magnetic Resonance imaging) data is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collected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then it can be used to further assess the impact on the service of radiology department.</w:t>
      </w:r>
    </w:p>
    <w:p w14:paraId="456B2BB7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Submitted by: </w:t>
      </w:r>
    </w:p>
    <w:p w14:paraId="3B78E6AC" w14:textId="77777777" w:rsidR="006527B3" w:rsidRDefault="006527B3" w:rsidP="006527B3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Z.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Al-Ani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updated by J Iles</w:t>
      </w:r>
    </w:p>
    <w:p w14:paraId="28361599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Published Date: </w:t>
      </w:r>
    </w:p>
    <w:p w14:paraId="3DE76281" w14:textId="77777777" w:rsidR="006527B3" w:rsidRDefault="006527B3" w:rsidP="006527B3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Style w:val="date-display-single"/>
          <w:rFonts w:ascii="Arial" w:hAnsi="Arial" w:cs="Arial"/>
          <w:color w:val="343434"/>
          <w:sz w:val="23"/>
          <w:szCs w:val="23"/>
        </w:rPr>
        <w:t>Monday 11 March 2013</w:t>
      </w:r>
    </w:p>
    <w:p w14:paraId="70BAB31F" w14:textId="77777777" w:rsidR="006527B3" w:rsidRDefault="006527B3" w:rsidP="006527B3">
      <w:pPr>
        <w:rPr>
          <w:rFonts w:ascii="Times New Roman" w:hAnsi="Times New Roman" w:cs="Times New Roman"/>
          <w:sz w:val="24"/>
          <w:szCs w:val="24"/>
        </w:rPr>
      </w:pPr>
    </w:p>
    <w:p w14:paraId="4576984F" w14:textId="77777777" w:rsidR="006527B3" w:rsidRDefault="006527B3" w:rsidP="006527B3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Last Reviewed: </w:t>
      </w:r>
    </w:p>
    <w:p w14:paraId="71BDE5D7" w14:textId="77777777" w:rsidR="006527B3" w:rsidRDefault="006527B3" w:rsidP="006527B3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Style w:val="date-display-single"/>
          <w:rFonts w:ascii="Arial" w:hAnsi="Arial" w:cs="Arial"/>
          <w:color w:val="343434"/>
          <w:sz w:val="23"/>
          <w:szCs w:val="23"/>
        </w:rPr>
        <w:t>Wednesday 1 January 2020</w:t>
      </w:r>
    </w:p>
    <w:p w14:paraId="5AA3CF64" w14:textId="77777777" w:rsidR="009822B4" w:rsidRDefault="009822B4"/>
    <w:sectPr w:rsidR="00982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1BC4"/>
    <w:multiLevelType w:val="multilevel"/>
    <w:tmpl w:val="B03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469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B3"/>
    <w:rsid w:val="0062271D"/>
    <w:rsid w:val="006527B3"/>
    <w:rsid w:val="009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FA54"/>
  <w15:chartTrackingRefBased/>
  <w15:docId w15:val="{10BB77FA-833F-46C4-86F1-453168A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7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7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7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5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file-wrapper">
    <w:name w:val="file-wrapper"/>
    <w:basedOn w:val="DefaultParagraphFont"/>
    <w:rsid w:val="006527B3"/>
  </w:style>
  <w:style w:type="character" w:styleId="Hyperlink">
    <w:name w:val="Hyperlink"/>
    <w:basedOn w:val="DefaultParagraphFont"/>
    <w:uiPriority w:val="99"/>
    <w:semiHidden/>
    <w:unhideWhenUsed/>
    <w:rsid w:val="006527B3"/>
    <w:rPr>
      <w:color w:val="0000FF"/>
      <w:u w:val="single"/>
    </w:rPr>
  </w:style>
  <w:style w:type="character" w:customStyle="1" w:styleId="file-meta">
    <w:name w:val="file-meta"/>
    <w:basedOn w:val="DefaultParagraphFont"/>
    <w:rsid w:val="006527B3"/>
  </w:style>
  <w:style w:type="character" w:customStyle="1" w:styleId="file-type">
    <w:name w:val="file-type"/>
    <w:basedOn w:val="DefaultParagraphFont"/>
    <w:rsid w:val="006527B3"/>
  </w:style>
  <w:style w:type="character" w:customStyle="1" w:styleId="file-size">
    <w:name w:val="file-size"/>
    <w:basedOn w:val="DefaultParagraphFont"/>
    <w:rsid w:val="006527B3"/>
  </w:style>
  <w:style w:type="character" w:customStyle="1" w:styleId="date-display-single">
    <w:name w:val="date-display-single"/>
    <w:basedOn w:val="DefaultParagraphFont"/>
    <w:rsid w:val="0065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9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6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684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82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317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62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897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95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r.ac.uk/sites/default/files/audit_template/254_table.doc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1" ma:contentTypeDescription="Create a new document." ma:contentTypeScope="" ma:versionID="8e501667a38c7294713285bdc6229445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90b37e3419317c12742b60d7a75f511e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Props1.xml><?xml version="1.0" encoding="utf-8"?>
<ds:datastoreItem xmlns:ds="http://schemas.openxmlformats.org/officeDocument/2006/customXml" ds:itemID="{9A5BA609-1566-4811-B034-23AEB1B4932B}"/>
</file>

<file path=customXml/itemProps2.xml><?xml version="1.0" encoding="utf-8"?>
<ds:datastoreItem xmlns:ds="http://schemas.openxmlformats.org/officeDocument/2006/customXml" ds:itemID="{62CEED4C-AAC2-43B6-B202-0F2E2CF1BBC8}"/>
</file>

<file path=customXml/itemProps3.xml><?xml version="1.0" encoding="utf-8"?>
<ds:datastoreItem xmlns:ds="http://schemas.openxmlformats.org/officeDocument/2006/customXml" ds:itemID="{3FA8A7CB-E442-4008-93F0-9B6CBC2F7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Shah</dc:creator>
  <cp:keywords/>
  <dc:description/>
  <cp:lastModifiedBy>Ethan Shah</cp:lastModifiedBy>
  <cp:revision>1</cp:revision>
  <dcterms:created xsi:type="dcterms:W3CDTF">2023-10-09T14:30:00Z</dcterms:created>
  <dcterms:modified xsi:type="dcterms:W3CDTF">2023-10-09T14:31:00Z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</Properties>
</file>