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7233" w14:textId="77777777" w:rsidR="00353E70" w:rsidRDefault="00353E70" w:rsidP="00353E70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Image-guided brachytherapy for cervix cancer: Audit of practice and outcomes</w:t>
      </w:r>
    </w:p>
    <w:p w14:paraId="76A1D2C5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91FB9D1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Audit of local performance with respect to:</w:t>
      </w:r>
    </w:p>
    <w:p w14:paraId="11285049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Technical quality of delivery of CT or MRI-guided brachytherapy for locally advanced cervix cancer</w:t>
      </w:r>
    </w:p>
    <w:p w14:paraId="529CAD53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Relevant clinical outcomes in patients treated with CT or MRI-guided brachytherapy for locally advanced cervix cancer i.e. rates of local recurrence and late toxicity</w:t>
      </w:r>
    </w:p>
    <w:p w14:paraId="5FB23AD1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38752D2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Standard treatment for locally advanced cervix cancer consists of concomitant external beam radiotherapy (EBRT) with cisplatin-based chemotherapy followed by brachytherapy. In response to GEC-ESTRO guidance 2005-2006, conventional brachytherapy has been superseded by image-guided brachytherapy (IGBT), enabling greater dose conformity and improved local tumour control. Regular audits are required to ensure that high technical standards are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maintained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patient outcomes are comparable to leading centres.</w:t>
      </w:r>
    </w:p>
    <w:p w14:paraId="0981158A" w14:textId="77777777" w:rsidR="00353E70" w:rsidRDefault="00353E70" w:rsidP="00353E7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823FB0B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57629968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PRACTICE:</w:t>
      </w:r>
      <w:r>
        <w:rPr>
          <w:rFonts w:ascii="Arial" w:hAnsi="Arial" w:cs="Arial"/>
          <w:color w:val="343434"/>
          <w:sz w:val="23"/>
          <w:szCs w:val="23"/>
        </w:rPr>
        <w:t> Standards from RCR guidance 2009 and 2012</w:t>
      </w:r>
    </w:p>
    <w:p w14:paraId="7CA3FE6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Equivalent dose in 2Gy fractions (EQD2) to 90% of the high-risk clinical target volume (HR-CTV D90) to be ≥85Gy</w:t>
      </w:r>
    </w:p>
    <w:p w14:paraId="3A63842B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EQD2 to the most exposed 2cc (D2cc) of organ at risk (OAR) to be ≤95Gy for bladder, ≤75Gy for rectum, ≤75Gy for sigmoid</w:t>
      </w:r>
    </w:p>
    <w:p w14:paraId="16D23BDE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Overall treatment time to be ≤50 days</w:t>
      </w:r>
    </w:p>
    <w:p w14:paraId="1A4F69C0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OUTCOMES:</w:t>
      </w:r>
      <w:r>
        <w:rPr>
          <w:rFonts w:ascii="Arial" w:hAnsi="Arial" w:cs="Arial"/>
          <w:color w:val="343434"/>
          <w:sz w:val="23"/>
          <w:szCs w:val="23"/>
        </w:rPr>
        <w:t> Standard taken to be published outcomes of a leading image-guided brachytherapy centre e.g. Vienna</w:t>
      </w:r>
    </w:p>
    <w:p w14:paraId="7398A3C5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Local (i.e. within brachytherapy field) tumour control rates for tumours ≤5cm and &gt;5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cm  to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be comparable to a leading centre e.g. Vienna</w:t>
      </w:r>
    </w:p>
    <w:p w14:paraId="41CF9F2C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Late (i.e. onset &gt;3 months following end of treatment) toxicity rates to be comparable to a leading centre e.g. Vienna</w:t>
      </w:r>
    </w:p>
    <w:p w14:paraId="551A3652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9A2D1BC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PRACTICE:</w:t>
      </w:r>
    </w:p>
    <w:p w14:paraId="2655135B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   • 90% of cases meeting each standard</w:t>
      </w:r>
    </w:p>
    <w:p w14:paraId="28D45FC7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OUTCOMES:</w:t>
      </w:r>
    </w:p>
    <w:p w14:paraId="766B275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Actuarial 3-year rates to be within 10% of figures achieved at a leading centre e.g. Vienna</w:t>
      </w:r>
    </w:p>
    <w:p w14:paraId="07D10A7A" w14:textId="77777777" w:rsidR="00353E70" w:rsidRDefault="00353E70" w:rsidP="00353E70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Assess local practice</w:t>
      </w:r>
    </w:p>
    <w:p w14:paraId="798BA416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7D22E1EA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PRACTICE:</w:t>
      </w:r>
    </w:p>
    <w:p w14:paraId="3E41CD03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Percentage of cases meeting each standard</w:t>
      </w:r>
    </w:p>
    <w:p w14:paraId="7D62C16E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  <w:u w:val="single"/>
        </w:rPr>
        <w:t>OUTCOMES:</w:t>
      </w:r>
    </w:p>
    <w:p w14:paraId="50A394E4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Actuarial 3-year rates</w:t>
      </w:r>
    </w:p>
    <w:p w14:paraId="2E93D974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7909FCD2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Baseline characteristics: Age, tumour size, nodal status, FIGO stage, histology, external beam radiotherapy Y/N, chemotherapy Y/N</w:t>
      </w:r>
    </w:p>
    <w:p w14:paraId="0F3501A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Brachytherapy data: Planning imaging modality (CT or MRI), type of applicator (tandem-ovoid or tandem-ring), interstitial needles Y/N, EQD2 HR-CTV D90, EQD2 D2cc bladder / rectum / sigmoid, overall treatment time for external beam radiotherapy and brachytherapy</w:t>
      </w:r>
    </w:p>
    <w:p w14:paraId="7F8CEC6E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Outcome data (ideally 3 years of follow-up, minimum 1 year of follow-up): Local recurrence within brachytherapy field Y/N, time of recurrence, late toxicity event Y/N, time of event, CTCAE grading of event</w:t>
      </w:r>
    </w:p>
    <w:p w14:paraId="5C5741D4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1A854440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Minimum of 20 patients.</w:t>
      </w:r>
    </w:p>
    <w:p w14:paraId="059803C0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33D48E94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Review of brachytherapy planning process and dosimetry to identify contributory factors in patients who:</w:t>
      </w:r>
    </w:p>
    <w:p w14:paraId="7C6E9595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a) Fail to meet criteria for HR-CTV D90 or organ at risk D2cc</w:t>
      </w:r>
    </w:p>
    <w:p w14:paraId="396D82D2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b) Develop in-brachytherapy field recurrence</w:t>
      </w:r>
    </w:p>
    <w:p w14:paraId="39407859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c) Develop grade 3 or 4 late bladder or bowel toxicity</w:t>
      </w:r>
    </w:p>
    <w:p w14:paraId="7955C1CD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Departmental dissemination of audit findings</w:t>
      </w:r>
    </w:p>
    <w:p w14:paraId="69F8BCA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• If significant logistical delays in outpatient delivery of brachytherapy fractions, consider implementing an inpatient admission pathway to facilitate delivery of all fractions during a single hospital stay.</w:t>
      </w:r>
    </w:p>
    <w:p w14:paraId="066A0ACB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2D2CC319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Radiotherapy physics database</w:t>
      </w:r>
    </w:p>
    <w:p w14:paraId="29455626" w14:textId="77777777" w:rsidR="00353E70" w:rsidRDefault="00353E70" w:rsidP="00353E7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• Clinical records</w:t>
      </w:r>
    </w:p>
    <w:p w14:paraId="6406AEE4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F705EC8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Haie-Meder C, Potter R, Van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Limbergen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E, Briot E, De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Brabandere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M, Dimopoulos J et al. Recommendations from Gynaecological (GYN) GEC-ESTRO Working Group (I): concepts and terms in 3D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image based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3D treatment planning in cervix cancer brachytherapy with emphasis on MRI assessment of GTV and CTV.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2005;74(3):235-45.</w:t>
      </w:r>
    </w:p>
    <w:p w14:paraId="44F10575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Potter R, Haie-Meder C, Van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Limbergen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E, Barillot I, De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Brabandere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M, Dimopoulos J et al. Recommendations from Gynaecological (GYN) GEC-ESTRO Working Group (II): concepts and terms in 3D image-based treatment planning in cervix cancer brachytherapy - 3D dose volume parameters and aspects of 3D image-based anatomy, radiation physics, radiobiology.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2006;78(1):67-77.</w:t>
      </w:r>
    </w:p>
    <w:p w14:paraId="6D6B3B6F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The Royal College of Radiologists. Implementing image-guided brachytherapy for cervix cancer in the United Kingdom. London: The Royal College of Radiologists, 2009.</w:t>
      </w:r>
    </w:p>
    <w:p w14:paraId="45D3FAAC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The Royal College of Radiologists: The role and development of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afterloading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brachytherapy services in the United Kingdom. London: The Royal College of Radiologists, 2012.</w:t>
      </w:r>
    </w:p>
    <w:p w14:paraId="7044814E" w14:textId="77777777" w:rsidR="00353E70" w:rsidRDefault="00353E70" w:rsidP="00353E7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Potter R, Georg P, Dimopoulos JC, Grimm M, Berger D, Nesvacil N et al. Clinical outcome of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protocol based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image (MRI) guided adaptive brachytherapy combined with 3D conformal radiotherapy with or without chemotherapy in patients with locally advanced cervix cancer.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Radiother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Oncol. 2001;100(1):116-23.</w:t>
      </w:r>
    </w:p>
    <w:p w14:paraId="0F2191F6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5E95154" w14:textId="77777777" w:rsidR="00353E70" w:rsidRDefault="00353E70" w:rsidP="00353E7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12 May 2015</w:t>
      </w:r>
    </w:p>
    <w:p w14:paraId="32E1B784" w14:textId="77777777" w:rsidR="00353E70" w:rsidRDefault="00353E70" w:rsidP="00353E70">
      <w:pPr>
        <w:rPr>
          <w:rFonts w:ascii="Times New Roman" w:hAnsi="Times New Roman" w:cs="Times New Roman"/>
          <w:sz w:val="24"/>
          <w:szCs w:val="24"/>
        </w:rPr>
      </w:pPr>
    </w:p>
    <w:p w14:paraId="184A1F0B" w14:textId="77777777" w:rsidR="00353E70" w:rsidRDefault="00353E70" w:rsidP="00353E70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E95A589" w14:textId="14B27004" w:rsidR="00353E70" w:rsidRDefault="00353E70" w:rsidP="00353E70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 xml:space="preserve">Thursday </w:t>
      </w:r>
      <w:r w:rsidR="006E2793">
        <w:rPr>
          <w:rStyle w:val="date-display-single"/>
          <w:rFonts w:ascii="Arial" w:hAnsi="Arial" w:cs="Arial"/>
          <w:color w:val="343434"/>
          <w:sz w:val="23"/>
          <w:szCs w:val="23"/>
        </w:rPr>
        <w:t>2 May 2024</w:t>
      </w:r>
    </w:p>
    <w:p w14:paraId="7C0A2111" w14:textId="416263F7" w:rsidR="000D3E1E" w:rsidRDefault="000D3E1E" w:rsidP="00353E70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260"/>
    <w:multiLevelType w:val="multilevel"/>
    <w:tmpl w:val="82A4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1"/>
  </w:num>
  <w:num w:numId="2" w16cid:durableId="205353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94E7C"/>
    <w:rsid w:val="001D3DCA"/>
    <w:rsid w:val="00353E70"/>
    <w:rsid w:val="006E2793"/>
    <w:rsid w:val="00D359BA"/>
    <w:rsid w:val="00D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452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6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0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73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15B27-D668-454B-8B7F-5557620D8384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2.xml><?xml version="1.0" encoding="utf-8"?>
<ds:datastoreItem xmlns:ds="http://schemas.openxmlformats.org/officeDocument/2006/customXml" ds:itemID="{7B118388-62FA-4C77-8333-B57EE9CCC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94C19-B23F-4F31-862B-EA3E7D6CD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Katherine Bailey</cp:lastModifiedBy>
  <cp:revision>2</cp:revision>
  <dcterms:created xsi:type="dcterms:W3CDTF">2024-07-31T14:47:00Z</dcterms:created>
  <dcterms:modified xsi:type="dcterms:W3CDTF">2024-07-31T14:47:00Z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