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E1E43" w14:textId="77777777" w:rsidR="00EE265D" w:rsidRPr="00EE265D" w:rsidRDefault="00EE265D" w:rsidP="00EE265D">
      <w:pPr>
        <w:shd w:val="clear" w:color="auto" w:fill="FFFFFF"/>
        <w:spacing w:after="225" w:line="240" w:lineRule="auto"/>
        <w:outlineLvl w:val="0"/>
        <w:rPr>
          <w:rFonts w:ascii="Arial" w:eastAsia="Times New Roman" w:hAnsi="Arial" w:cs="Arial"/>
          <w:b/>
          <w:bCs/>
          <w:color w:val="007CBE"/>
          <w:spacing w:val="-15"/>
          <w:kern w:val="36"/>
          <w:sz w:val="50"/>
          <w:szCs w:val="50"/>
          <w:lang w:eastAsia="en-GB"/>
          <w14:ligatures w14:val="none"/>
        </w:rPr>
      </w:pPr>
      <w:r w:rsidRPr="00EE265D">
        <w:rPr>
          <w:rFonts w:ascii="Arial" w:eastAsia="Times New Roman" w:hAnsi="Arial" w:cs="Arial"/>
          <w:b/>
          <w:bCs/>
          <w:color w:val="007CBE"/>
          <w:spacing w:val="-15"/>
          <w:kern w:val="36"/>
          <w:sz w:val="50"/>
          <w:szCs w:val="50"/>
          <w:lang w:eastAsia="en-GB"/>
          <w14:ligatures w14:val="none"/>
        </w:rPr>
        <w:t>Adequate Contrast Enhancement of CT Pulmonary Angiograms</w:t>
      </w:r>
    </w:p>
    <w:p w14:paraId="60B48C1D" w14:textId="77777777" w:rsidR="00EE265D" w:rsidRDefault="00EE265D" w:rsidP="00EE265D">
      <w:pPr>
        <w:shd w:val="clear" w:color="auto" w:fill="FFFFFF"/>
        <w:rPr>
          <w:rFonts w:ascii="Arial" w:hAnsi="Arial" w:cs="Arial"/>
          <w:b/>
          <w:bCs/>
          <w:color w:val="00467F"/>
          <w:sz w:val="32"/>
          <w:szCs w:val="32"/>
        </w:rPr>
      </w:pPr>
      <w:r>
        <w:rPr>
          <w:rFonts w:ascii="Arial" w:hAnsi="Arial" w:cs="Arial"/>
          <w:b/>
          <w:bCs/>
          <w:color w:val="00467F"/>
          <w:sz w:val="32"/>
          <w:szCs w:val="32"/>
        </w:rPr>
        <w:t>Descriptor: </w:t>
      </w:r>
    </w:p>
    <w:p w14:paraId="09702814" w14:textId="77777777" w:rsidR="00EE265D" w:rsidRDefault="00EE265D" w:rsidP="00EE265D">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Assessment of the contrast enhancement in CT pulmonary angiograms to ensure adequacy for diagnosis.</w:t>
      </w:r>
    </w:p>
    <w:p w14:paraId="2EBE3E30" w14:textId="77777777" w:rsidR="00EE265D" w:rsidRDefault="00EE265D" w:rsidP="00EE265D">
      <w:pPr>
        <w:shd w:val="clear" w:color="auto" w:fill="FFFFFF"/>
        <w:rPr>
          <w:rFonts w:ascii="Arial" w:hAnsi="Arial" w:cs="Arial"/>
          <w:b/>
          <w:bCs/>
          <w:color w:val="00467F"/>
          <w:sz w:val="32"/>
          <w:szCs w:val="32"/>
        </w:rPr>
      </w:pPr>
      <w:r>
        <w:rPr>
          <w:rFonts w:ascii="Arial" w:hAnsi="Arial" w:cs="Arial"/>
          <w:b/>
          <w:bCs/>
          <w:color w:val="00467F"/>
          <w:sz w:val="32"/>
          <w:szCs w:val="32"/>
        </w:rPr>
        <w:t>Background: </w:t>
      </w:r>
    </w:p>
    <w:p w14:paraId="536496BF" w14:textId="77777777" w:rsidR="00EE265D" w:rsidRDefault="00EE265D" w:rsidP="00EE265D">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xml:space="preserve">Suboptimal enhancement of CT pulmonary angiograms leads to </w:t>
      </w:r>
      <w:proofErr w:type="spellStart"/>
      <w:r>
        <w:rPr>
          <w:rFonts w:ascii="Arial" w:hAnsi="Arial" w:cs="Arial"/>
          <w:color w:val="343434"/>
          <w:sz w:val="23"/>
          <w:szCs w:val="23"/>
        </w:rPr>
        <w:t>non diagnostic</w:t>
      </w:r>
      <w:proofErr w:type="spellEnd"/>
      <w:r>
        <w:rPr>
          <w:rFonts w:ascii="Arial" w:hAnsi="Arial" w:cs="Arial"/>
          <w:color w:val="343434"/>
          <w:sz w:val="23"/>
          <w:szCs w:val="23"/>
        </w:rPr>
        <w:t xml:space="preserve"> studies and therefore unnecessary exposure to contrast and radiation, in addition to putting patient safety at risk by delaying diagnosis.</w:t>
      </w:r>
    </w:p>
    <w:p w14:paraId="54F7F906" w14:textId="77777777" w:rsidR="00EE265D" w:rsidRDefault="00EE265D" w:rsidP="00EE265D">
      <w:pPr>
        <w:pStyle w:val="Heading2"/>
        <w:shd w:val="clear" w:color="auto" w:fill="FFFFFF"/>
        <w:spacing w:before="0" w:after="180"/>
        <w:rPr>
          <w:rFonts w:ascii="Arial" w:hAnsi="Arial" w:cs="Arial"/>
          <w:color w:val="007CBE"/>
          <w:sz w:val="36"/>
          <w:szCs w:val="36"/>
        </w:rPr>
      </w:pPr>
      <w:r>
        <w:rPr>
          <w:rFonts w:ascii="Arial" w:hAnsi="Arial" w:cs="Arial"/>
          <w:color w:val="007CBE"/>
        </w:rPr>
        <w:t>The Cycle</w:t>
      </w:r>
    </w:p>
    <w:p w14:paraId="48193AA3" w14:textId="77777777" w:rsidR="00EE265D" w:rsidRDefault="00EE265D" w:rsidP="00EE265D">
      <w:pPr>
        <w:shd w:val="clear" w:color="auto" w:fill="FFFFFF"/>
        <w:rPr>
          <w:rFonts w:ascii="Arial" w:hAnsi="Arial" w:cs="Arial"/>
          <w:b/>
          <w:bCs/>
          <w:color w:val="007CBE"/>
          <w:sz w:val="23"/>
          <w:szCs w:val="23"/>
        </w:rPr>
      </w:pPr>
      <w:r>
        <w:rPr>
          <w:rFonts w:ascii="Arial" w:hAnsi="Arial" w:cs="Arial"/>
          <w:b/>
          <w:bCs/>
          <w:color w:val="007CBE"/>
          <w:sz w:val="23"/>
          <w:szCs w:val="23"/>
        </w:rPr>
        <w:t>The standard: </w:t>
      </w:r>
    </w:p>
    <w:p w14:paraId="0AEB68CB" w14:textId="77777777" w:rsidR="00EE265D" w:rsidRDefault="00EE265D" w:rsidP="00EE265D">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Current evidence suggests that a level of 210 Hounsfield Units (HU) is required in a pulmonary vessel to distinguish chronic thrombus from an enhancing vessel [1]. Acute thrombus has lower HU than chronic and therefore the level of vascular enhancement can be lower but still distinguishable from the thrombus. Given that contrast enhancement is often lower in more peripheral vessels, a level of 210 HU in the main pulmonary artery was defined as the level for acceptable enhancement.</w:t>
      </w:r>
    </w:p>
    <w:p w14:paraId="041FE49A" w14:textId="77777777" w:rsidR="00EE265D" w:rsidRDefault="00EE265D" w:rsidP="00EE265D">
      <w:pPr>
        <w:shd w:val="clear" w:color="auto" w:fill="FFFFFF"/>
        <w:rPr>
          <w:rFonts w:ascii="Arial" w:hAnsi="Arial" w:cs="Arial"/>
          <w:b/>
          <w:bCs/>
          <w:color w:val="007CBE"/>
          <w:sz w:val="23"/>
          <w:szCs w:val="23"/>
        </w:rPr>
      </w:pPr>
      <w:r>
        <w:rPr>
          <w:rFonts w:ascii="Arial" w:hAnsi="Arial" w:cs="Arial"/>
          <w:b/>
          <w:bCs/>
          <w:color w:val="007CBE"/>
          <w:sz w:val="23"/>
          <w:szCs w:val="23"/>
        </w:rPr>
        <w:t>Target: </w:t>
      </w:r>
    </w:p>
    <w:p w14:paraId="5691ABE7" w14:textId="77777777" w:rsidR="00EE265D" w:rsidRDefault="00EE265D" w:rsidP="00EE265D">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The literature to date suggests that approximately 10.8% of CTPAs may be suboptimal based on all causes, including poor contrast enhancement and motion artefact amongst other factors [2]. Therefore, the target has been defined as no more than 11% of CTPAs having HU &lt;210 in the main pulmonary artery.</w:t>
      </w:r>
    </w:p>
    <w:p w14:paraId="2D7CB375" w14:textId="77777777" w:rsidR="00EE265D" w:rsidRDefault="00EE265D" w:rsidP="00EE265D">
      <w:pPr>
        <w:pStyle w:val="Heading2"/>
        <w:shd w:val="clear" w:color="auto" w:fill="FFFFFF"/>
        <w:spacing w:before="0" w:after="180"/>
        <w:rPr>
          <w:rFonts w:ascii="Arial" w:hAnsi="Arial" w:cs="Arial"/>
          <w:color w:val="007CBE"/>
          <w:sz w:val="36"/>
          <w:szCs w:val="36"/>
        </w:rPr>
      </w:pPr>
      <w:r>
        <w:rPr>
          <w:rFonts w:ascii="Arial" w:hAnsi="Arial" w:cs="Arial"/>
          <w:color w:val="007CBE"/>
        </w:rPr>
        <w:t xml:space="preserve">Assess local </w:t>
      </w:r>
      <w:proofErr w:type="gramStart"/>
      <w:r>
        <w:rPr>
          <w:rFonts w:ascii="Arial" w:hAnsi="Arial" w:cs="Arial"/>
          <w:color w:val="007CBE"/>
        </w:rPr>
        <w:t>practice</w:t>
      </w:r>
      <w:proofErr w:type="gramEnd"/>
    </w:p>
    <w:p w14:paraId="23FD509E" w14:textId="77777777" w:rsidR="00EE265D" w:rsidRDefault="00EE265D" w:rsidP="00EE265D">
      <w:pPr>
        <w:shd w:val="clear" w:color="auto" w:fill="FFFFFF"/>
        <w:rPr>
          <w:rFonts w:ascii="Arial" w:hAnsi="Arial" w:cs="Arial"/>
          <w:b/>
          <w:bCs/>
          <w:color w:val="007CBE"/>
          <w:sz w:val="23"/>
          <w:szCs w:val="23"/>
        </w:rPr>
      </w:pPr>
      <w:r>
        <w:rPr>
          <w:rFonts w:ascii="Arial" w:hAnsi="Arial" w:cs="Arial"/>
          <w:b/>
          <w:bCs/>
          <w:color w:val="007CBE"/>
          <w:sz w:val="23"/>
          <w:szCs w:val="23"/>
        </w:rPr>
        <w:t>Indicators: </w:t>
      </w:r>
    </w:p>
    <w:p w14:paraId="480A9151" w14:textId="77777777" w:rsidR="00EE265D" w:rsidRDefault="00EE265D" w:rsidP="00EE265D">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A circular region of interest should be measured in the largest axial image of the main pulmonary artery with a diameter of approximately 50% of the vessel.</w:t>
      </w:r>
    </w:p>
    <w:p w14:paraId="5875BB0C" w14:textId="77777777" w:rsidR="00EE265D" w:rsidRDefault="00EE265D" w:rsidP="00EE265D">
      <w:pPr>
        <w:shd w:val="clear" w:color="auto" w:fill="FFFFFF"/>
        <w:rPr>
          <w:rFonts w:ascii="Arial" w:hAnsi="Arial" w:cs="Arial"/>
          <w:b/>
          <w:bCs/>
          <w:color w:val="007CBE"/>
          <w:sz w:val="23"/>
          <w:szCs w:val="23"/>
        </w:rPr>
      </w:pPr>
      <w:r>
        <w:rPr>
          <w:rFonts w:ascii="Arial" w:hAnsi="Arial" w:cs="Arial"/>
          <w:b/>
          <w:bCs/>
          <w:color w:val="007CBE"/>
          <w:sz w:val="23"/>
          <w:szCs w:val="23"/>
        </w:rPr>
        <w:t>Data items to be collected: </w:t>
      </w:r>
    </w:p>
    <w:p w14:paraId="3795A768" w14:textId="77777777" w:rsidR="00EE265D" w:rsidRDefault="00EE265D" w:rsidP="00EE265D">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The details of the scan and the average HU for each patient should be recorded in a database. The percentage of scans below the threshold of 210 HU can then be calculated.</w:t>
      </w:r>
    </w:p>
    <w:p w14:paraId="034417C7" w14:textId="77777777" w:rsidR="00EE265D" w:rsidRDefault="00EE265D" w:rsidP="00EE265D">
      <w:pPr>
        <w:shd w:val="clear" w:color="auto" w:fill="FFFFFF"/>
        <w:rPr>
          <w:rFonts w:ascii="Arial" w:hAnsi="Arial" w:cs="Arial"/>
          <w:b/>
          <w:bCs/>
          <w:color w:val="007CBE"/>
          <w:sz w:val="23"/>
          <w:szCs w:val="23"/>
        </w:rPr>
      </w:pPr>
      <w:r>
        <w:rPr>
          <w:rFonts w:ascii="Arial" w:hAnsi="Arial" w:cs="Arial"/>
          <w:b/>
          <w:bCs/>
          <w:color w:val="007CBE"/>
          <w:sz w:val="23"/>
          <w:szCs w:val="23"/>
        </w:rPr>
        <w:t>Suggested number: </w:t>
      </w:r>
    </w:p>
    <w:p w14:paraId="6650DC59" w14:textId="77777777" w:rsidR="00EE265D" w:rsidRDefault="00EE265D" w:rsidP="00EE265D">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A minimum of 50 consecutive CTPAs per protocol should be assessed. These can be identified through RIS or logbooks.</w:t>
      </w:r>
    </w:p>
    <w:p w14:paraId="47221EDF" w14:textId="77777777" w:rsidR="00EE265D" w:rsidRDefault="00EE265D" w:rsidP="00EE265D">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lastRenderedPageBreak/>
        <w:t xml:space="preserve">(Ideally this should be performed </w:t>
      </w:r>
      <w:proofErr w:type="gramStart"/>
      <w:r>
        <w:rPr>
          <w:rFonts w:ascii="Arial" w:hAnsi="Arial" w:cs="Arial"/>
          <w:color w:val="343434"/>
          <w:sz w:val="23"/>
          <w:szCs w:val="23"/>
        </w:rPr>
        <w:t>prospectively</w:t>
      </w:r>
      <w:proofErr w:type="gramEnd"/>
      <w:r>
        <w:rPr>
          <w:rFonts w:ascii="Arial" w:hAnsi="Arial" w:cs="Arial"/>
          <w:color w:val="343434"/>
          <w:sz w:val="23"/>
          <w:szCs w:val="23"/>
        </w:rPr>
        <w:t xml:space="preserve"> and radiographers and radiologists encouraged to document in RIS when the protocol has not been followed)</w:t>
      </w:r>
    </w:p>
    <w:p w14:paraId="03072802" w14:textId="77777777" w:rsidR="00EE265D" w:rsidRDefault="00EE265D" w:rsidP="00EE265D">
      <w:pPr>
        <w:shd w:val="clear" w:color="auto" w:fill="FFFFFF"/>
        <w:rPr>
          <w:rFonts w:ascii="Arial" w:hAnsi="Arial" w:cs="Arial"/>
          <w:b/>
          <w:bCs/>
          <w:color w:val="00467F"/>
          <w:sz w:val="32"/>
          <w:szCs w:val="32"/>
        </w:rPr>
      </w:pPr>
      <w:r>
        <w:rPr>
          <w:rFonts w:ascii="Arial" w:hAnsi="Arial" w:cs="Arial"/>
          <w:b/>
          <w:bCs/>
          <w:color w:val="00467F"/>
          <w:sz w:val="32"/>
          <w:szCs w:val="32"/>
        </w:rPr>
        <w:t>Suggestions for change if target not met: </w:t>
      </w:r>
    </w:p>
    <w:p w14:paraId="449683C8" w14:textId="77777777" w:rsidR="00EE265D" w:rsidRDefault="00EE265D" w:rsidP="00EE265D">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xml:space="preserve">- Ensure radiographers realise the importance of a large cannula (ideal minimum of 20 gauge) in the antecubital fossa with appropriate arm positioning not too high above the head. The preferred rate of contrast injection should be </w:t>
      </w:r>
      <w:proofErr w:type="gramStart"/>
      <w:r>
        <w:rPr>
          <w:rFonts w:ascii="Arial" w:hAnsi="Arial" w:cs="Arial"/>
          <w:color w:val="343434"/>
          <w:sz w:val="23"/>
          <w:szCs w:val="23"/>
        </w:rPr>
        <w:t>established</w:t>
      </w:r>
      <w:proofErr w:type="gramEnd"/>
    </w:p>
    <w:p w14:paraId="5D4A6C32" w14:textId="77777777" w:rsidR="00EE265D" w:rsidRDefault="00EE265D" w:rsidP="00EE265D">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xml:space="preserve">- With faster scanners and appropriate patients, scanning in minimal rather than maximal inspiration can be encouraged (to avoid a negative intrathoracic pressure drawing </w:t>
      </w:r>
      <w:proofErr w:type="spellStart"/>
      <w:r>
        <w:rPr>
          <w:rFonts w:ascii="Arial" w:hAnsi="Arial" w:cs="Arial"/>
          <w:color w:val="343434"/>
          <w:sz w:val="23"/>
          <w:szCs w:val="23"/>
        </w:rPr>
        <w:t>unopacified</w:t>
      </w:r>
      <w:proofErr w:type="spellEnd"/>
      <w:r>
        <w:rPr>
          <w:rFonts w:ascii="Arial" w:hAnsi="Arial" w:cs="Arial"/>
          <w:color w:val="343434"/>
          <w:sz w:val="23"/>
          <w:szCs w:val="23"/>
        </w:rPr>
        <w:t xml:space="preserve"> blood in from the IVC)</w:t>
      </w:r>
    </w:p>
    <w:p w14:paraId="0B259129" w14:textId="77777777" w:rsidR="00EE265D" w:rsidRDefault="00EE265D" w:rsidP="00EE265D">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xml:space="preserve">- The strength and volume of contrast can be </w:t>
      </w:r>
      <w:proofErr w:type="gramStart"/>
      <w:r>
        <w:rPr>
          <w:rFonts w:ascii="Arial" w:hAnsi="Arial" w:cs="Arial"/>
          <w:color w:val="343434"/>
          <w:sz w:val="23"/>
          <w:szCs w:val="23"/>
        </w:rPr>
        <w:t>adjusted</w:t>
      </w:r>
      <w:proofErr w:type="gramEnd"/>
      <w:r>
        <w:rPr>
          <w:rFonts w:ascii="Arial" w:hAnsi="Arial" w:cs="Arial"/>
          <w:color w:val="343434"/>
          <w:sz w:val="23"/>
          <w:szCs w:val="23"/>
        </w:rPr>
        <w:t xml:space="preserve"> and the use of a saline chaser explored</w:t>
      </w:r>
    </w:p>
    <w:p w14:paraId="3B3E80F3" w14:textId="77777777" w:rsidR="00EE265D" w:rsidRDefault="00EE265D" w:rsidP="00EE265D">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Utilise a different protocol:</w:t>
      </w:r>
    </w:p>
    <w:p w14:paraId="67E5C6D0" w14:textId="77777777" w:rsidR="00EE265D" w:rsidRDefault="00EE265D" w:rsidP="00EE265D">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xml:space="preserve">• Fixed timing </w:t>
      </w:r>
      <w:proofErr w:type="spellStart"/>
      <w:r>
        <w:rPr>
          <w:rFonts w:ascii="Arial" w:hAnsi="Arial" w:cs="Arial"/>
          <w:color w:val="343434"/>
          <w:sz w:val="23"/>
          <w:szCs w:val="23"/>
        </w:rPr>
        <w:t>eg.</w:t>
      </w:r>
      <w:proofErr w:type="spellEnd"/>
      <w:r>
        <w:rPr>
          <w:rFonts w:ascii="Arial" w:hAnsi="Arial" w:cs="Arial"/>
          <w:color w:val="343434"/>
          <w:sz w:val="23"/>
          <w:szCs w:val="23"/>
        </w:rPr>
        <w:t xml:space="preserve"> 17s</w:t>
      </w:r>
    </w:p>
    <w:p w14:paraId="7508FFE9" w14:textId="77777777" w:rsidR="00EE265D" w:rsidRDefault="00EE265D" w:rsidP="00EE265D">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Bolus tracking, generally performed from the main pulmonary artery, but different thresholds may be used and the time to first scan slice can be varied</w:t>
      </w:r>
    </w:p>
    <w:p w14:paraId="754E927D" w14:textId="77777777" w:rsidR="00EE265D" w:rsidRDefault="00EE265D" w:rsidP="00EE265D">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A test bolus can be used to define the optimum timing using a preliminary bolus to define the peak enhancement and follow it with the diagnostic scan</w:t>
      </w:r>
    </w:p>
    <w:p w14:paraId="6256C78F" w14:textId="77777777" w:rsidR="00EE265D" w:rsidRDefault="00EE265D" w:rsidP="00EE265D">
      <w:pPr>
        <w:shd w:val="clear" w:color="auto" w:fill="FFFFFF"/>
        <w:rPr>
          <w:rFonts w:ascii="Arial" w:hAnsi="Arial" w:cs="Arial"/>
          <w:b/>
          <w:bCs/>
          <w:color w:val="00467F"/>
          <w:sz w:val="32"/>
          <w:szCs w:val="32"/>
        </w:rPr>
      </w:pPr>
      <w:r>
        <w:rPr>
          <w:rFonts w:ascii="Arial" w:hAnsi="Arial" w:cs="Arial"/>
          <w:b/>
          <w:bCs/>
          <w:color w:val="00467F"/>
          <w:sz w:val="32"/>
          <w:szCs w:val="32"/>
        </w:rPr>
        <w:t>Resources: </w:t>
      </w:r>
    </w:p>
    <w:p w14:paraId="3632A66C" w14:textId="77777777" w:rsidR="00EE265D" w:rsidRDefault="00EE265D" w:rsidP="00EE265D">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Access to RIS, PACS and a database</w:t>
      </w:r>
    </w:p>
    <w:p w14:paraId="50273F2C" w14:textId="77777777" w:rsidR="00EE265D" w:rsidRDefault="00EE265D" w:rsidP="00EE265D">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Staff time per audit: 4-8 hours</w:t>
      </w:r>
    </w:p>
    <w:p w14:paraId="0CAF4ED5" w14:textId="77777777" w:rsidR="00EE265D" w:rsidRDefault="00EE265D" w:rsidP="00EE265D">
      <w:pPr>
        <w:shd w:val="clear" w:color="auto" w:fill="FFFFFF"/>
        <w:rPr>
          <w:rFonts w:ascii="Arial" w:hAnsi="Arial" w:cs="Arial"/>
          <w:b/>
          <w:bCs/>
          <w:color w:val="00467F"/>
          <w:sz w:val="32"/>
          <w:szCs w:val="32"/>
        </w:rPr>
      </w:pPr>
      <w:r>
        <w:rPr>
          <w:rFonts w:ascii="Arial" w:hAnsi="Arial" w:cs="Arial"/>
          <w:b/>
          <w:bCs/>
          <w:color w:val="00467F"/>
          <w:sz w:val="32"/>
          <w:szCs w:val="32"/>
        </w:rPr>
        <w:t>References: </w:t>
      </w:r>
    </w:p>
    <w:p w14:paraId="3C6FFEAC" w14:textId="77777777" w:rsidR="00EE265D" w:rsidRDefault="00EE265D" w:rsidP="00EE265D">
      <w:pPr>
        <w:pStyle w:val="NormalWeb"/>
        <w:numPr>
          <w:ilvl w:val="0"/>
          <w:numId w:val="1"/>
        </w:numPr>
        <w:shd w:val="clear" w:color="auto" w:fill="FFFFFF"/>
        <w:spacing w:before="0" w:beforeAutospacing="0" w:after="300" w:afterAutospacing="0" w:line="312" w:lineRule="atLeast"/>
        <w:ind w:left="1020"/>
        <w:rPr>
          <w:rFonts w:ascii="Arial" w:hAnsi="Arial" w:cs="Arial"/>
          <w:color w:val="343434"/>
          <w:sz w:val="23"/>
          <w:szCs w:val="23"/>
        </w:rPr>
      </w:pPr>
      <w:proofErr w:type="spellStart"/>
      <w:r>
        <w:rPr>
          <w:rFonts w:ascii="Arial" w:hAnsi="Arial" w:cs="Arial"/>
          <w:color w:val="343434"/>
          <w:sz w:val="23"/>
          <w:szCs w:val="23"/>
        </w:rPr>
        <w:t>Wittram</w:t>
      </w:r>
      <w:proofErr w:type="spellEnd"/>
      <w:r>
        <w:rPr>
          <w:rFonts w:ascii="Arial" w:hAnsi="Arial" w:cs="Arial"/>
          <w:color w:val="343434"/>
          <w:sz w:val="23"/>
          <w:szCs w:val="23"/>
        </w:rPr>
        <w:t xml:space="preserve"> C, Maher MM, Halpern E, Shepard JO. Hounsfield unit values of acute and chronic pulmonary emboli. Radiology 2005: 235; 1050-1054.</w:t>
      </w:r>
    </w:p>
    <w:p w14:paraId="2F89D64A" w14:textId="77777777" w:rsidR="00EE265D" w:rsidRDefault="00EE265D" w:rsidP="00EE265D">
      <w:pPr>
        <w:pStyle w:val="NormalWeb"/>
        <w:numPr>
          <w:ilvl w:val="0"/>
          <w:numId w:val="1"/>
        </w:numPr>
        <w:shd w:val="clear" w:color="auto" w:fill="FFFFFF"/>
        <w:spacing w:before="0" w:beforeAutospacing="0" w:after="300" w:afterAutospacing="0" w:line="312" w:lineRule="atLeast"/>
        <w:ind w:left="1020"/>
        <w:rPr>
          <w:rFonts w:ascii="Arial" w:hAnsi="Arial" w:cs="Arial"/>
          <w:color w:val="343434"/>
          <w:sz w:val="23"/>
          <w:szCs w:val="23"/>
        </w:rPr>
      </w:pPr>
      <w:r>
        <w:rPr>
          <w:rFonts w:ascii="Arial" w:hAnsi="Arial" w:cs="Arial"/>
          <w:color w:val="343434"/>
          <w:sz w:val="23"/>
          <w:szCs w:val="23"/>
        </w:rPr>
        <w:t xml:space="preserve">Jones SE, </w:t>
      </w:r>
      <w:proofErr w:type="spellStart"/>
      <w:r>
        <w:rPr>
          <w:rFonts w:ascii="Arial" w:hAnsi="Arial" w:cs="Arial"/>
          <w:color w:val="343434"/>
          <w:sz w:val="23"/>
          <w:szCs w:val="23"/>
        </w:rPr>
        <w:t>Wittram</w:t>
      </w:r>
      <w:proofErr w:type="spellEnd"/>
      <w:r>
        <w:rPr>
          <w:rFonts w:ascii="Arial" w:hAnsi="Arial" w:cs="Arial"/>
          <w:color w:val="343434"/>
          <w:sz w:val="23"/>
          <w:szCs w:val="23"/>
        </w:rPr>
        <w:t xml:space="preserve"> C. The indeterminate CT pulmonary angiogram: imaging characteristics and patient clinical outcome. Radiology 2005; 237: 329-337.</w:t>
      </w:r>
    </w:p>
    <w:p w14:paraId="55EEAB80" w14:textId="77777777" w:rsidR="00EE265D" w:rsidRDefault="00EE265D" w:rsidP="00EE265D">
      <w:pPr>
        <w:pStyle w:val="NormalWeb"/>
        <w:numPr>
          <w:ilvl w:val="0"/>
          <w:numId w:val="1"/>
        </w:numPr>
        <w:shd w:val="clear" w:color="auto" w:fill="FFFFFF"/>
        <w:spacing w:before="0" w:beforeAutospacing="0" w:after="300" w:afterAutospacing="0" w:line="312" w:lineRule="atLeast"/>
        <w:ind w:left="1020"/>
        <w:rPr>
          <w:rFonts w:ascii="Arial" w:hAnsi="Arial" w:cs="Arial"/>
          <w:color w:val="343434"/>
          <w:sz w:val="23"/>
          <w:szCs w:val="23"/>
        </w:rPr>
      </w:pPr>
      <w:r>
        <w:rPr>
          <w:rFonts w:ascii="Arial" w:hAnsi="Arial" w:cs="Arial"/>
          <w:color w:val="343434"/>
          <w:sz w:val="23"/>
          <w:szCs w:val="23"/>
        </w:rPr>
        <w:t xml:space="preserve">Yilmaz Ö, Üstün ED, Kayan M, et al. Diagnostic quality of CT pulmonary angiography in pulmonary thromboembolism: A comparison of three different kV values. Medical Science </w:t>
      </w:r>
      <w:proofErr w:type="gramStart"/>
      <w:r>
        <w:rPr>
          <w:rFonts w:ascii="Arial" w:hAnsi="Arial" w:cs="Arial"/>
          <w:color w:val="343434"/>
          <w:sz w:val="23"/>
          <w:szCs w:val="23"/>
        </w:rPr>
        <w:t>Monitor :</w:t>
      </w:r>
      <w:proofErr w:type="gramEnd"/>
      <w:r>
        <w:rPr>
          <w:rFonts w:ascii="Arial" w:hAnsi="Arial" w:cs="Arial"/>
          <w:color w:val="343434"/>
          <w:sz w:val="23"/>
          <w:szCs w:val="23"/>
        </w:rPr>
        <w:t xml:space="preserve"> International Medical Journal of Experimental and Clinical Research. </w:t>
      </w:r>
      <w:proofErr w:type="gramStart"/>
      <w:r>
        <w:rPr>
          <w:rFonts w:ascii="Arial" w:hAnsi="Arial" w:cs="Arial"/>
          <w:color w:val="343434"/>
          <w:sz w:val="23"/>
          <w:szCs w:val="23"/>
        </w:rPr>
        <w:t>2013;19:908</w:t>
      </w:r>
      <w:proofErr w:type="gramEnd"/>
      <w:r>
        <w:rPr>
          <w:rFonts w:ascii="Arial" w:hAnsi="Arial" w:cs="Arial"/>
          <w:color w:val="343434"/>
          <w:sz w:val="23"/>
          <w:szCs w:val="23"/>
        </w:rPr>
        <w:t>-915. doi:10.12659/MSM.889578.</w:t>
      </w:r>
    </w:p>
    <w:p w14:paraId="40362671" w14:textId="77777777" w:rsidR="00EE265D" w:rsidRDefault="00EE265D" w:rsidP="00EE265D">
      <w:pPr>
        <w:shd w:val="clear" w:color="auto" w:fill="FFFFFF"/>
        <w:rPr>
          <w:rFonts w:ascii="Arial" w:hAnsi="Arial" w:cs="Arial"/>
          <w:b/>
          <w:bCs/>
          <w:color w:val="00467F"/>
          <w:sz w:val="32"/>
          <w:szCs w:val="32"/>
        </w:rPr>
      </w:pPr>
      <w:r>
        <w:rPr>
          <w:rFonts w:ascii="Arial" w:hAnsi="Arial" w:cs="Arial"/>
          <w:b/>
          <w:bCs/>
          <w:color w:val="00467F"/>
          <w:sz w:val="32"/>
          <w:szCs w:val="32"/>
        </w:rPr>
        <w:t>Editor's comments: </w:t>
      </w:r>
    </w:p>
    <w:p w14:paraId="786D87D3" w14:textId="77777777" w:rsidR="00EE265D" w:rsidRDefault="00EE265D" w:rsidP="00EE265D">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lastRenderedPageBreak/>
        <w:t>The time interval to re-audit will depend on the scanner throughput, but a minimal of 30 additional scans from the implementation of a new protocol is advised.</w:t>
      </w:r>
    </w:p>
    <w:p w14:paraId="1D00B47F" w14:textId="77777777" w:rsidR="00EE265D" w:rsidRDefault="00EE265D" w:rsidP="00EE265D">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xml:space="preserve">Regardless of protocol, the diagnostic quality of CTPAs is often compromised by the acute setting (where it may be difficult to insert the optimal size cannula for example).  Pulmonary vascular opacification is also highly dependent on the patient’s BMI, which again cannot be easily controlled for in the acute setting.  As such, I believe that a total of 50 cases (rather than 30) will be required.  References will also need updating at the next </w:t>
      </w:r>
      <w:proofErr w:type="gramStart"/>
      <w:r>
        <w:rPr>
          <w:rFonts w:ascii="Arial" w:hAnsi="Arial" w:cs="Arial"/>
          <w:color w:val="343434"/>
          <w:sz w:val="23"/>
          <w:szCs w:val="23"/>
        </w:rPr>
        <w:t>review</w:t>
      </w:r>
      <w:proofErr w:type="gramEnd"/>
    </w:p>
    <w:p w14:paraId="3F1935F1" w14:textId="77777777" w:rsidR="00EE265D" w:rsidRDefault="00EE265D" w:rsidP="00EE265D">
      <w:pPr>
        <w:shd w:val="clear" w:color="auto" w:fill="FFFFFF"/>
        <w:rPr>
          <w:rFonts w:ascii="Arial" w:hAnsi="Arial" w:cs="Arial"/>
          <w:b/>
          <w:bCs/>
          <w:color w:val="00467F"/>
          <w:sz w:val="32"/>
          <w:szCs w:val="32"/>
        </w:rPr>
      </w:pPr>
      <w:r>
        <w:rPr>
          <w:rFonts w:ascii="Arial" w:hAnsi="Arial" w:cs="Arial"/>
          <w:b/>
          <w:bCs/>
          <w:color w:val="00467F"/>
          <w:sz w:val="32"/>
          <w:szCs w:val="32"/>
        </w:rPr>
        <w:t>Submitted by: </w:t>
      </w:r>
    </w:p>
    <w:p w14:paraId="4537352B" w14:textId="77777777" w:rsidR="00EE265D" w:rsidRDefault="00EE265D" w:rsidP="00EE265D">
      <w:pPr>
        <w:shd w:val="clear" w:color="auto" w:fill="FFFFFF"/>
        <w:rPr>
          <w:rFonts w:ascii="Arial" w:hAnsi="Arial" w:cs="Arial"/>
          <w:color w:val="343434"/>
          <w:sz w:val="23"/>
          <w:szCs w:val="23"/>
        </w:rPr>
      </w:pPr>
      <w:r>
        <w:rPr>
          <w:rFonts w:ascii="Arial" w:hAnsi="Arial" w:cs="Arial"/>
          <w:color w:val="343434"/>
          <w:sz w:val="23"/>
          <w:szCs w:val="23"/>
        </w:rPr>
        <w:t>Dr Michelle Muller and Dr Anna Beattie, updated by A Chang 2017 and J May 2022</w:t>
      </w:r>
    </w:p>
    <w:p w14:paraId="71FF8B8F" w14:textId="77777777" w:rsidR="00EE265D" w:rsidRDefault="00EE265D" w:rsidP="00EE265D">
      <w:pPr>
        <w:shd w:val="clear" w:color="auto" w:fill="FFFFFF"/>
        <w:rPr>
          <w:rFonts w:ascii="Arial" w:hAnsi="Arial" w:cs="Arial"/>
          <w:b/>
          <w:bCs/>
          <w:color w:val="007CBE"/>
          <w:sz w:val="23"/>
          <w:szCs w:val="23"/>
        </w:rPr>
      </w:pPr>
      <w:r>
        <w:rPr>
          <w:rFonts w:ascii="Arial" w:hAnsi="Arial" w:cs="Arial"/>
          <w:b/>
          <w:bCs/>
          <w:color w:val="007CBE"/>
          <w:sz w:val="23"/>
          <w:szCs w:val="23"/>
        </w:rPr>
        <w:t>Published Date: </w:t>
      </w:r>
    </w:p>
    <w:p w14:paraId="7399DE17" w14:textId="77777777" w:rsidR="00EE265D" w:rsidRDefault="00EE265D" w:rsidP="00EE265D">
      <w:pPr>
        <w:shd w:val="clear" w:color="auto" w:fill="FFFFFF"/>
        <w:rPr>
          <w:rFonts w:ascii="Arial" w:hAnsi="Arial" w:cs="Arial"/>
          <w:color w:val="343434"/>
          <w:sz w:val="23"/>
          <w:szCs w:val="23"/>
        </w:rPr>
      </w:pPr>
      <w:r>
        <w:rPr>
          <w:rStyle w:val="date-display-single"/>
          <w:rFonts w:ascii="Arial" w:hAnsi="Arial" w:cs="Arial"/>
          <w:color w:val="343434"/>
          <w:sz w:val="23"/>
          <w:szCs w:val="23"/>
        </w:rPr>
        <w:t>Saturday 5 January 2013</w:t>
      </w:r>
    </w:p>
    <w:p w14:paraId="70E9FCFB" w14:textId="77777777" w:rsidR="00EE265D" w:rsidRDefault="00EE265D" w:rsidP="00EE265D">
      <w:pPr>
        <w:rPr>
          <w:rFonts w:ascii="Times New Roman" w:hAnsi="Times New Roman" w:cs="Times New Roman"/>
          <w:sz w:val="24"/>
          <w:szCs w:val="24"/>
        </w:rPr>
      </w:pPr>
    </w:p>
    <w:p w14:paraId="5B9B2749" w14:textId="77777777" w:rsidR="00EE265D" w:rsidRDefault="00EE265D" w:rsidP="00EE265D">
      <w:pPr>
        <w:shd w:val="clear" w:color="auto" w:fill="FFFFFF"/>
        <w:rPr>
          <w:rFonts w:ascii="Arial" w:hAnsi="Arial" w:cs="Arial"/>
          <w:b/>
          <w:bCs/>
          <w:color w:val="007CBE"/>
          <w:sz w:val="23"/>
          <w:szCs w:val="23"/>
        </w:rPr>
      </w:pPr>
      <w:r>
        <w:rPr>
          <w:rFonts w:ascii="Arial" w:hAnsi="Arial" w:cs="Arial"/>
          <w:b/>
          <w:bCs/>
          <w:color w:val="007CBE"/>
          <w:sz w:val="23"/>
          <w:szCs w:val="23"/>
        </w:rPr>
        <w:t>Last Reviewed: </w:t>
      </w:r>
    </w:p>
    <w:p w14:paraId="6A3F1055" w14:textId="77777777" w:rsidR="00EE265D" w:rsidRDefault="00EE265D" w:rsidP="00EE265D">
      <w:pPr>
        <w:shd w:val="clear" w:color="auto" w:fill="FFFFFF"/>
        <w:rPr>
          <w:rFonts w:ascii="Arial" w:hAnsi="Arial" w:cs="Arial"/>
          <w:color w:val="343434"/>
          <w:sz w:val="23"/>
          <w:szCs w:val="23"/>
        </w:rPr>
      </w:pPr>
      <w:r>
        <w:rPr>
          <w:rStyle w:val="date-display-single"/>
          <w:rFonts w:ascii="Arial" w:hAnsi="Arial" w:cs="Arial"/>
          <w:color w:val="343434"/>
          <w:sz w:val="23"/>
          <w:szCs w:val="23"/>
        </w:rPr>
        <w:t>Wednesday 20 July 2022</w:t>
      </w:r>
    </w:p>
    <w:p w14:paraId="052C7C25" w14:textId="77777777" w:rsidR="009822B4" w:rsidRDefault="009822B4"/>
    <w:sectPr w:rsidR="009822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01EC5"/>
    <w:multiLevelType w:val="multilevel"/>
    <w:tmpl w:val="28E08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70169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65D"/>
    <w:rsid w:val="0062271D"/>
    <w:rsid w:val="009822B4"/>
    <w:rsid w:val="00EE2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E271C"/>
  <w15:chartTrackingRefBased/>
  <w15:docId w15:val="{18CFE9F1-7391-4DEF-818A-3E849A9E2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E26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EE26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65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EE265D"/>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EE265D"/>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date-display-single">
    <w:name w:val="date-display-single"/>
    <w:basedOn w:val="DefaultParagraphFont"/>
    <w:rsid w:val="00EE2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53432">
      <w:bodyDiv w:val="1"/>
      <w:marLeft w:val="0"/>
      <w:marRight w:val="0"/>
      <w:marTop w:val="0"/>
      <w:marBottom w:val="0"/>
      <w:divBdr>
        <w:top w:val="none" w:sz="0" w:space="0" w:color="auto"/>
        <w:left w:val="none" w:sz="0" w:space="0" w:color="auto"/>
        <w:bottom w:val="none" w:sz="0" w:space="0" w:color="auto"/>
        <w:right w:val="none" w:sz="0" w:space="0" w:color="auto"/>
      </w:divBdr>
    </w:div>
    <w:div w:id="2066876105">
      <w:bodyDiv w:val="1"/>
      <w:marLeft w:val="0"/>
      <w:marRight w:val="0"/>
      <w:marTop w:val="0"/>
      <w:marBottom w:val="0"/>
      <w:divBdr>
        <w:top w:val="none" w:sz="0" w:space="0" w:color="auto"/>
        <w:left w:val="none" w:sz="0" w:space="0" w:color="auto"/>
        <w:bottom w:val="none" w:sz="0" w:space="0" w:color="auto"/>
        <w:right w:val="none" w:sz="0" w:space="0" w:color="auto"/>
      </w:divBdr>
      <w:divsChild>
        <w:div w:id="1414159768">
          <w:marLeft w:val="0"/>
          <w:marRight w:val="0"/>
          <w:marTop w:val="0"/>
          <w:marBottom w:val="480"/>
          <w:divBdr>
            <w:top w:val="none" w:sz="0" w:space="0" w:color="auto"/>
            <w:left w:val="none" w:sz="0" w:space="0" w:color="auto"/>
            <w:bottom w:val="none" w:sz="0" w:space="0" w:color="auto"/>
            <w:right w:val="none" w:sz="0" w:space="0" w:color="auto"/>
          </w:divBdr>
          <w:divsChild>
            <w:div w:id="1749955938">
              <w:marLeft w:val="0"/>
              <w:marRight w:val="0"/>
              <w:marTop w:val="0"/>
              <w:marBottom w:val="0"/>
              <w:divBdr>
                <w:top w:val="none" w:sz="0" w:space="0" w:color="auto"/>
                <w:left w:val="none" w:sz="0" w:space="0" w:color="auto"/>
                <w:bottom w:val="none" w:sz="0" w:space="0" w:color="auto"/>
                <w:right w:val="none" w:sz="0" w:space="0" w:color="auto"/>
              </w:divBdr>
            </w:div>
            <w:div w:id="15277170">
              <w:marLeft w:val="0"/>
              <w:marRight w:val="0"/>
              <w:marTop w:val="0"/>
              <w:marBottom w:val="0"/>
              <w:divBdr>
                <w:top w:val="none" w:sz="0" w:space="0" w:color="auto"/>
                <w:left w:val="none" w:sz="0" w:space="0" w:color="auto"/>
                <w:bottom w:val="none" w:sz="0" w:space="0" w:color="auto"/>
                <w:right w:val="none" w:sz="0" w:space="0" w:color="auto"/>
              </w:divBdr>
              <w:divsChild>
                <w:div w:id="21274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7022">
          <w:marLeft w:val="0"/>
          <w:marRight w:val="0"/>
          <w:marTop w:val="0"/>
          <w:marBottom w:val="480"/>
          <w:divBdr>
            <w:top w:val="none" w:sz="0" w:space="0" w:color="auto"/>
            <w:left w:val="none" w:sz="0" w:space="0" w:color="auto"/>
            <w:bottom w:val="none" w:sz="0" w:space="0" w:color="auto"/>
            <w:right w:val="none" w:sz="0" w:space="0" w:color="auto"/>
          </w:divBdr>
          <w:divsChild>
            <w:div w:id="891110894">
              <w:marLeft w:val="0"/>
              <w:marRight w:val="0"/>
              <w:marTop w:val="0"/>
              <w:marBottom w:val="0"/>
              <w:divBdr>
                <w:top w:val="none" w:sz="0" w:space="0" w:color="auto"/>
                <w:left w:val="none" w:sz="0" w:space="0" w:color="auto"/>
                <w:bottom w:val="none" w:sz="0" w:space="0" w:color="auto"/>
                <w:right w:val="none" w:sz="0" w:space="0" w:color="auto"/>
              </w:divBdr>
            </w:div>
            <w:div w:id="971716073">
              <w:marLeft w:val="0"/>
              <w:marRight w:val="0"/>
              <w:marTop w:val="0"/>
              <w:marBottom w:val="0"/>
              <w:divBdr>
                <w:top w:val="none" w:sz="0" w:space="0" w:color="auto"/>
                <w:left w:val="none" w:sz="0" w:space="0" w:color="auto"/>
                <w:bottom w:val="none" w:sz="0" w:space="0" w:color="auto"/>
                <w:right w:val="none" w:sz="0" w:space="0" w:color="auto"/>
              </w:divBdr>
              <w:divsChild>
                <w:div w:id="174052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645">
          <w:marLeft w:val="0"/>
          <w:marRight w:val="0"/>
          <w:marTop w:val="0"/>
          <w:marBottom w:val="0"/>
          <w:divBdr>
            <w:top w:val="none" w:sz="0" w:space="0" w:color="auto"/>
            <w:left w:val="none" w:sz="0" w:space="0" w:color="auto"/>
            <w:bottom w:val="none" w:sz="0" w:space="0" w:color="auto"/>
            <w:right w:val="none" w:sz="0" w:space="0" w:color="auto"/>
          </w:divBdr>
          <w:divsChild>
            <w:div w:id="1322274629">
              <w:marLeft w:val="0"/>
              <w:marRight w:val="0"/>
              <w:marTop w:val="0"/>
              <w:marBottom w:val="0"/>
              <w:divBdr>
                <w:top w:val="none" w:sz="0" w:space="0" w:color="auto"/>
                <w:left w:val="none" w:sz="0" w:space="0" w:color="auto"/>
                <w:bottom w:val="none" w:sz="0" w:space="0" w:color="auto"/>
                <w:right w:val="none" w:sz="0" w:space="0" w:color="auto"/>
              </w:divBdr>
            </w:div>
            <w:div w:id="483203207">
              <w:marLeft w:val="0"/>
              <w:marRight w:val="0"/>
              <w:marTop w:val="0"/>
              <w:marBottom w:val="0"/>
              <w:divBdr>
                <w:top w:val="none" w:sz="0" w:space="0" w:color="auto"/>
                <w:left w:val="none" w:sz="0" w:space="0" w:color="auto"/>
                <w:bottom w:val="none" w:sz="0" w:space="0" w:color="auto"/>
                <w:right w:val="none" w:sz="0" w:space="0" w:color="auto"/>
              </w:divBdr>
              <w:divsChild>
                <w:div w:id="4311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0910">
          <w:marLeft w:val="0"/>
          <w:marRight w:val="0"/>
          <w:marTop w:val="0"/>
          <w:marBottom w:val="0"/>
          <w:divBdr>
            <w:top w:val="none" w:sz="0" w:space="0" w:color="auto"/>
            <w:left w:val="none" w:sz="0" w:space="0" w:color="auto"/>
            <w:bottom w:val="none" w:sz="0" w:space="0" w:color="auto"/>
            <w:right w:val="none" w:sz="0" w:space="0" w:color="auto"/>
          </w:divBdr>
          <w:divsChild>
            <w:div w:id="1825656278">
              <w:marLeft w:val="0"/>
              <w:marRight w:val="0"/>
              <w:marTop w:val="0"/>
              <w:marBottom w:val="0"/>
              <w:divBdr>
                <w:top w:val="none" w:sz="0" w:space="0" w:color="auto"/>
                <w:left w:val="none" w:sz="0" w:space="0" w:color="auto"/>
                <w:bottom w:val="none" w:sz="0" w:space="0" w:color="auto"/>
                <w:right w:val="none" w:sz="0" w:space="0" w:color="auto"/>
              </w:divBdr>
            </w:div>
            <w:div w:id="94056407">
              <w:marLeft w:val="0"/>
              <w:marRight w:val="0"/>
              <w:marTop w:val="0"/>
              <w:marBottom w:val="0"/>
              <w:divBdr>
                <w:top w:val="none" w:sz="0" w:space="0" w:color="auto"/>
                <w:left w:val="none" w:sz="0" w:space="0" w:color="auto"/>
                <w:bottom w:val="none" w:sz="0" w:space="0" w:color="auto"/>
                <w:right w:val="none" w:sz="0" w:space="0" w:color="auto"/>
              </w:divBdr>
              <w:divsChild>
                <w:div w:id="98758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55824">
          <w:marLeft w:val="0"/>
          <w:marRight w:val="0"/>
          <w:marTop w:val="0"/>
          <w:marBottom w:val="0"/>
          <w:divBdr>
            <w:top w:val="none" w:sz="0" w:space="0" w:color="auto"/>
            <w:left w:val="none" w:sz="0" w:space="0" w:color="auto"/>
            <w:bottom w:val="none" w:sz="0" w:space="0" w:color="auto"/>
            <w:right w:val="none" w:sz="0" w:space="0" w:color="auto"/>
          </w:divBdr>
          <w:divsChild>
            <w:div w:id="2089880882">
              <w:marLeft w:val="0"/>
              <w:marRight w:val="0"/>
              <w:marTop w:val="0"/>
              <w:marBottom w:val="0"/>
              <w:divBdr>
                <w:top w:val="none" w:sz="0" w:space="0" w:color="auto"/>
                <w:left w:val="none" w:sz="0" w:space="0" w:color="auto"/>
                <w:bottom w:val="none" w:sz="0" w:space="0" w:color="auto"/>
                <w:right w:val="none" w:sz="0" w:space="0" w:color="auto"/>
              </w:divBdr>
            </w:div>
            <w:div w:id="487211300">
              <w:marLeft w:val="0"/>
              <w:marRight w:val="0"/>
              <w:marTop w:val="0"/>
              <w:marBottom w:val="0"/>
              <w:divBdr>
                <w:top w:val="none" w:sz="0" w:space="0" w:color="auto"/>
                <w:left w:val="none" w:sz="0" w:space="0" w:color="auto"/>
                <w:bottom w:val="none" w:sz="0" w:space="0" w:color="auto"/>
                <w:right w:val="none" w:sz="0" w:space="0" w:color="auto"/>
              </w:divBdr>
              <w:divsChild>
                <w:div w:id="10688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57209">
          <w:marLeft w:val="0"/>
          <w:marRight w:val="0"/>
          <w:marTop w:val="0"/>
          <w:marBottom w:val="0"/>
          <w:divBdr>
            <w:top w:val="none" w:sz="0" w:space="0" w:color="auto"/>
            <w:left w:val="none" w:sz="0" w:space="0" w:color="auto"/>
            <w:bottom w:val="none" w:sz="0" w:space="0" w:color="auto"/>
            <w:right w:val="none" w:sz="0" w:space="0" w:color="auto"/>
          </w:divBdr>
          <w:divsChild>
            <w:div w:id="465317035">
              <w:marLeft w:val="0"/>
              <w:marRight w:val="0"/>
              <w:marTop w:val="0"/>
              <w:marBottom w:val="0"/>
              <w:divBdr>
                <w:top w:val="none" w:sz="0" w:space="0" w:color="auto"/>
                <w:left w:val="none" w:sz="0" w:space="0" w:color="auto"/>
                <w:bottom w:val="none" w:sz="0" w:space="0" w:color="auto"/>
                <w:right w:val="none" w:sz="0" w:space="0" w:color="auto"/>
              </w:divBdr>
            </w:div>
            <w:div w:id="934366402">
              <w:marLeft w:val="0"/>
              <w:marRight w:val="0"/>
              <w:marTop w:val="0"/>
              <w:marBottom w:val="0"/>
              <w:divBdr>
                <w:top w:val="none" w:sz="0" w:space="0" w:color="auto"/>
                <w:left w:val="none" w:sz="0" w:space="0" w:color="auto"/>
                <w:bottom w:val="none" w:sz="0" w:space="0" w:color="auto"/>
                <w:right w:val="none" w:sz="0" w:space="0" w:color="auto"/>
              </w:divBdr>
              <w:divsChild>
                <w:div w:id="82597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80524">
          <w:marLeft w:val="0"/>
          <w:marRight w:val="0"/>
          <w:marTop w:val="0"/>
          <w:marBottom w:val="0"/>
          <w:divBdr>
            <w:top w:val="none" w:sz="0" w:space="0" w:color="auto"/>
            <w:left w:val="none" w:sz="0" w:space="0" w:color="auto"/>
            <w:bottom w:val="none" w:sz="0" w:space="0" w:color="auto"/>
            <w:right w:val="none" w:sz="0" w:space="0" w:color="auto"/>
          </w:divBdr>
          <w:divsChild>
            <w:div w:id="1707290715">
              <w:marLeft w:val="0"/>
              <w:marRight w:val="0"/>
              <w:marTop w:val="0"/>
              <w:marBottom w:val="0"/>
              <w:divBdr>
                <w:top w:val="none" w:sz="0" w:space="0" w:color="auto"/>
                <w:left w:val="none" w:sz="0" w:space="0" w:color="auto"/>
                <w:bottom w:val="none" w:sz="0" w:space="0" w:color="auto"/>
                <w:right w:val="none" w:sz="0" w:space="0" w:color="auto"/>
              </w:divBdr>
            </w:div>
            <w:div w:id="1172531094">
              <w:marLeft w:val="0"/>
              <w:marRight w:val="0"/>
              <w:marTop w:val="0"/>
              <w:marBottom w:val="0"/>
              <w:divBdr>
                <w:top w:val="none" w:sz="0" w:space="0" w:color="auto"/>
                <w:left w:val="none" w:sz="0" w:space="0" w:color="auto"/>
                <w:bottom w:val="none" w:sz="0" w:space="0" w:color="auto"/>
                <w:right w:val="none" w:sz="0" w:space="0" w:color="auto"/>
              </w:divBdr>
              <w:divsChild>
                <w:div w:id="917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20903">
          <w:marLeft w:val="0"/>
          <w:marRight w:val="0"/>
          <w:marTop w:val="0"/>
          <w:marBottom w:val="480"/>
          <w:divBdr>
            <w:top w:val="none" w:sz="0" w:space="0" w:color="auto"/>
            <w:left w:val="none" w:sz="0" w:space="0" w:color="auto"/>
            <w:bottom w:val="none" w:sz="0" w:space="0" w:color="auto"/>
            <w:right w:val="none" w:sz="0" w:space="0" w:color="auto"/>
          </w:divBdr>
          <w:divsChild>
            <w:div w:id="767431530">
              <w:marLeft w:val="0"/>
              <w:marRight w:val="0"/>
              <w:marTop w:val="0"/>
              <w:marBottom w:val="0"/>
              <w:divBdr>
                <w:top w:val="none" w:sz="0" w:space="0" w:color="auto"/>
                <w:left w:val="none" w:sz="0" w:space="0" w:color="auto"/>
                <w:bottom w:val="none" w:sz="0" w:space="0" w:color="auto"/>
                <w:right w:val="none" w:sz="0" w:space="0" w:color="auto"/>
              </w:divBdr>
            </w:div>
            <w:div w:id="676662120">
              <w:marLeft w:val="0"/>
              <w:marRight w:val="0"/>
              <w:marTop w:val="0"/>
              <w:marBottom w:val="0"/>
              <w:divBdr>
                <w:top w:val="none" w:sz="0" w:space="0" w:color="auto"/>
                <w:left w:val="none" w:sz="0" w:space="0" w:color="auto"/>
                <w:bottom w:val="none" w:sz="0" w:space="0" w:color="auto"/>
                <w:right w:val="none" w:sz="0" w:space="0" w:color="auto"/>
              </w:divBdr>
              <w:divsChild>
                <w:div w:id="151113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77591">
          <w:marLeft w:val="0"/>
          <w:marRight w:val="0"/>
          <w:marTop w:val="0"/>
          <w:marBottom w:val="480"/>
          <w:divBdr>
            <w:top w:val="none" w:sz="0" w:space="0" w:color="auto"/>
            <w:left w:val="none" w:sz="0" w:space="0" w:color="auto"/>
            <w:bottom w:val="none" w:sz="0" w:space="0" w:color="auto"/>
            <w:right w:val="none" w:sz="0" w:space="0" w:color="auto"/>
          </w:divBdr>
          <w:divsChild>
            <w:div w:id="1000080129">
              <w:marLeft w:val="0"/>
              <w:marRight w:val="0"/>
              <w:marTop w:val="0"/>
              <w:marBottom w:val="0"/>
              <w:divBdr>
                <w:top w:val="none" w:sz="0" w:space="0" w:color="auto"/>
                <w:left w:val="none" w:sz="0" w:space="0" w:color="auto"/>
                <w:bottom w:val="none" w:sz="0" w:space="0" w:color="auto"/>
                <w:right w:val="none" w:sz="0" w:space="0" w:color="auto"/>
              </w:divBdr>
            </w:div>
            <w:div w:id="1912500737">
              <w:marLeft w:val="0"/>
              <w:marRight w:val="0"/>
              <w:marTop w:val="0"/>
              <w:marBottom w:val="0"/>
              <w:divBdr>
                <w:top w:val="none" w:sz="0" w:space="0" w:color="auto"/>
                <w:left w:val="none" w:sz="0" w:space="0" w:color="auto"/>
                <w:bottom w:val="none" w:sz="0" w:space="0" w:color="auto"/>
                <w:right w:val="none" w:sz="0" w:space="0" w:color="auto"/>
              </w:divBdr>
              <w:divsChild>
                <w:div w:id="13497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64858">
          <w:marLeft w:val="0"/>
          <w:marRight w:val="0"/>
          <w:marTop w:val="0"/>
          <w:marBottom w:val="480"/>
          <w:divBdr>
            <w:top w:val="none" w:sz="0" w:space="0" w:color="auto"/>
            <w:left w:val="none" w:sz="0" w:space="0" w:color="auto"/>
            <w:bottom w:val="none" w:sz="0" w:space="0" w:color="auto"/>
            <w:right w:val="none" w:sz="0" w:space="0" w:color="auto"/>
          </w:divBdr>
          <w:divsChild>
            <w:div w:id="221332359">
              <w:marLeft w:val="0"/>
              <w:marRight w:val="0"/>
              <w:marTop w:val="0"/>
              <w:marBottom w:val="0"/>
              <w:divBdr>
                <w:top w:val="none" w:sz="0" w:space="0" w:color="auto"/>
                <w:left w:val="none" w:sz="0" w:space="0" w:color="auto"/>
                <w:bottom w:val="none" w:sz="0" w:space="0" w:color="auto"/>
                <w:right w:val="none" w:sz="0" w:space="0" w:color="auto"/>
              </w:divBdr>
            </w:div>
            <w:div w:id="2115436777">
              <w:marLeft w:val="0"/>
              <w:marRight w:val="0"/>
              <w:marTop w:val="0"/>
              <w:marBottom w:val="0"/>
              <w:divBdr>
                <w:top w:val="none" w:sz="0" w:space="0" w:color="auto"/>
                <w:left w:val="none" w:sz="0" w:space="0" w:color="auto"/>
                <w:bottom w:val="none" w:sz="0" w:space="0" w:color="auto"/>
                <w:right w:val="none" w:sz="0" w:space="0" w:color="auto"/>
              </w:divBdr>
              <w:divsChild>
                <w:div w:id="20741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8299">
          <w:marLeft w:val="0"/>
          <w:marRight w:val="0"/>
          <w:marTop w:val="0"/>
          <w:marBottom w:val="480"/>
          <w:divBdr>
            <w:top w:val="none" w:sz="0" w:space="0" w:color="auto"/>
            <w:left w:val="none" w:sz="0" w:space="0" w:color="auto"/>
            <w:bottom w:val="none" w:sz="0" w:space="0" w:color="auto"/>
            <w:right w:val="none" w:sz="0" w:space="0" w:color="auto"/>
          </w:divBdr>
          <w:divsChild>
            <w:div w:id="109326088">
              <w:marLeft w:val="0"/>
              <w:marRight w:val="0"/>
              <w:marTop w:val="0"/>
              <w:marBottom w:val="0"/>
              <w:divBdr>
                <w:top w:val="none" w:sz="0" w:space="0" w:color="auto"/>
                <w:left w:val="none" w:sz="0" w:space="0" w:color="auto"/>
                <w:bottom w:val="none" w:sz="0" w:space="0" w:color="auto"/>
                <w:right w:val="none" w:sz="0" w:space="0" w:color="auto"/>
              </w:divBdr>
            </w:div>
            <w:div w:id="433868121">
              <w:marLeft w:val="0"/>
              <w:marRight w:val="0"/>
              <w:marTop w:val="0"/>
              <w:marBottom w:val="0"/>
              <w:divBdr>
                <w:top w:val="none" w:sz="0" w:space="0" w:color="auto"/>
                <w:left w:val="none" w:sz="0" w:space="0" w:color="auto"/>
                <w:bottom w:val="none" w:sz="0" w:space="0" w:color="auto"/>
                <w:right w:val="none" w:sz="0" w:space="0" w:color="auto"/>
              </w:divBdr>
              <w:divsChild>
                <w:div w:id="128878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0161">
          <w:marLeft w:val="0"/>
          <w:marRight w:val="0"/>
          <w:marTop w:val="0"/>
          <w:marBottom w:val="480"/>
          <w:divBdr>
            <w:top w:val="none" w:sz="0" w:space="0" w:color="auto"/>
            <w:left w:val="none" w:sz="0" w:space="0" w:color="auto"/>
            <w:bottom w:val="none" w:sz="0" w:space="0" w:color="auto"/>
            <w:right w:val="none" w:sz="0" w:space="0" w:color="auto"/>
          </w:divBdr>
          <w:divsChild>
            <w:div w:id="1361664268">
              <w:marLeft w:val="0"/>
              <w:marRight w:val="0"/>
              <w:marTop w:val="0"/>
              <w:marBottom w:val="0"/>
              <w:divBdr>
                <w:top w:val="none" w:sz="0" w:space="0" w:color="auto"/>
                <w:left w:val="none" w:sz="0" w:space="0" w:color="auto"/>
                <w:bottom w:val="none" w:sz="0" w:space="0" w:color="auto"/>
                <w:right w:val="none" w:sz="0" w:space="0" w:color="auto"/>
              </w:divBdr>
            </w:div>
            <w:div w:id="1941797915">
              <w:marLeft w:val="0"/>
              <w:marRight w:val="0"/>
              <w:marTop w:val="0"/>
              <w:marBottom w:val="0"/>
              <w:divBdr>
                <w:top w:val="none" w:sz="0" w:space="0" w:color="auto"/>
                <w:left w:val="none" w:sz="0" w:space="0" w:color="auto"/>
                <w:bottom w:val="none" w:sz="0" w:space="0" w:color="auto"/>
                <w:right w:val="none" w:sz="0" w:space="0" w:color="auto"/>
              </w:divBdr>
              <w:divsChild>
                <w:div w:id="119049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249">
          <w:marLeft w:val="0"/>
          <w:marRight w:val="0"/>
          <w:marTop w:val="0"/>
          <w:marBottom w:val="0"/>
          <w:divBdr>
            <w:top w:val="none" w:sz="0" w:space="0" w:color="auto"/>
            <w:left w:val="none" w:sz="0" w:space="0" w:color="auto"/>
            <w:bottom w:val="none" w:sz="0" w:space="0" w:color="auto"/>
            <w:right w:val="none" w:sz="0" w:space="0" w:color="auto"/>
          </w:divBdr>
          <w:divsChild>
            <w:div w:id="918248972">
              <w:marLeft w:val="0"/>
              <w:marRight w:val="0"/>
              <w:marTop w:val="0"/>
              <w:marBottom w:val="0"/>
              <w:divBdr>
                <w:top w:val="none" w:sz="0" w:space="0" w:color="auto"/>
                <w:left w:val="none" w:sz="0" w:space="0" w:color="auto"/>
                <w:bottom w:val="none" w:sz="0" w:space="0" w:color="auto"/>
                <w:right w:val="none" w:sz="0" w:space="0" w:color="auto"/>
              </w:divBdr>
            </w:div>
            <w:div w:id="1442842906">
              <w:marLeft w:val="0"/>
              <w:marRight w:val="0"/>
              <w:marTop w:val="0"/>
              <w:marBottom w:val="0"/>
              <w:divBdr>
                <w:top w:val="none" w:sz="0" w:space="0" w:color="auto"/>
                <w:left w:val="none" w:sz="0" w:space="0" w:color="auto"/>
                <w:bottom w:val="none" w:sz="0" w:space="0" w:color="auto"/>
                <w:right w:val="none" w:sz="0" w:space="0" w:color="auto"/>
              </w:divBdr>
              <w:divsChild>
                <w:div w:id="23528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1918">
          <w:marLeft w:val="0"/>
          <w:marRight w:val="0"/>
          <w:marTop w:val="0"/>
          <w:marBottom w:val="0"/>
          <w:divBdr>
            <w:top w:val="none" w:sz="0" w:space="0" w:color="auto"/>
            <w:left w:val="none" w:sz="0" w:space="0" w:color="auto"/>
            <w:bottom w:val="none" w:sz="0" w:space="0" w:color="auto"/>
            <w:right w:val="none" w:sz="0" w:space="0" w:color="auto"/>
          </w:divBdr>
          <w:divsChild>
            <w:div w:id="295598847">
              <w:marLeft w:val="0"/>
              <w:marRight w:val="0"/>
              <w:marTop w:val="0"/>
              <w:marBottom w:val="0"/>
              <w:divBdr>
                <w:top w:val="none" w:sz="0" w:space="0" w:color="auto"/>
                <w:left w:val="none" w:sz="0" w:space="0" w:color="auto"/>
                <w:bottom w:val="none" w:sz="0" w:space="0" w:color="auto"/>
                <w:right w:val="none" w:sz="0" w:space="0" w:color="auto"/>
              </w:divBdr>
            </w:div>
            <w:div w:id="856383348">
              <w:marLeft w:val="0"/>
              <w:marRight w:val="0"/>
              <w:marTop w:val="0"/>
              <w:marBottom w:val="0"/>
              <w:divBdr>
                <w:top w:val="none" w:sz="0" w:space="0" w:color="auto"/>
                <w:left w:val="none" w:sz="0" w:space="0" w:color="auto"/>
                <w:bottom w:val="none" w:sz="0" w:space="0" w:color="auto"/>
                <w:right w:val="none" w:sz="0" w:space="0" w:color="auto"/>
              </w:divBdr>
              <w:divsChild>
                <w:div w:id="93331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930D4881B426479DFFD409E83C1F79" ma:contentTypeVersion="21" ma:contentTypeDescription="Create a new document." ma:contentTypeScope="" ma:versionID="8e501667a38c7294713285bdc6229445">
  <xsd:schema xmlns:xsd="http://www.w3.org/2001/XMLSchema" xmlns:xs="http://www.w3.org/2001/XMLSchema" xmlns:p="http://schemas.microsoft.com/office/2006/metadata/properties" xmlns:ns2="3fb4b005-a1e9-415f-95e8-b72bee4e82f5" xmlns:ns3="6554f0f3-0605-4421-b410-d212dd1c837f" targetNamespace="http://schemas.microsoft.com/office/2006/metadata/properties" ma:root="true" ma:fieldsID="90b37e3419317c12742b60d7a75f511e" ns2:_="" ns3:_="">
    <xsd:import namespace="3fb4b005-a1e9-415f-95e8-b72bee4e82f5"/>
    <xsd:import namespace="6554f0f3-0605-4421-b410-d212dd1c83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lcf76f155ced4ddcb4097134ff3c332f" minOccurs="0"/>
                <xsd:element ref="ns2:TaxCatchAll" minOccurs="0"/>
                <xsd:element ref="ns3:Reviewdate" minOccurs="0"/>
                <xsd:element ref="ns3:Owner" minOccurs="0"/>
                <xsd:element ref="ns3:Choic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4b005-a1e9-415f-95e8-b72bee4e82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description="" ma:hidden="true" ma:list="{b946cbcd-4f77-4bf6-a86a-8ea8d8f1e234}" ma:internalName="TaxCatchAll" ma:showField="CatchAllData" ma:web="3fb4b005-a1e9-415f-95e8-b72bee4e82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54f0f3-0605-4421-b410-d212dd1c83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477b81-37fc-401a-a635-b27b8cc5c4f6" ma:termSetId="09814cd3-568e-fe90-9814-8d621ff8fb84" ma:anchorId="fba54fb3-c3e1-fe81-a776-ca4b69148c4d" ma:open="true" ma:isKeyword="false">
      <xsd:complexType>
        <xsd:sequence>
          <xsd:element ref="pc:Terms" minOccurs="0" maxOccurs="1"/>
        </xsd:sequence>
      </xsd:complexType>
    </xsd:element>
    <xsd:element name="Reviewdate" ma:index="24" nillable="true" ma:displayName="Review date" ma:format="Dropdown" ma:internalName="Reviewdate">
      <xsd:simpleType>
        <xsd:restriction base="dms:Text">
          <xsd:maxLength value="255"/>
        </xsd:restriction>
      </xsd:simpleType>
    </xsd:element>
    <xsd:element name="Owner" ma:index="25"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oice" ma:index="26" nillable="true" ma:displayName="Choice" ma:format="Dropdown" ma:internalName="Choice">
      <xsd:simpleType>
        <xsd:restriction base="dms:Choice">
          <xsd:enumeration value="HR"/>
          <xsd:enumeration value="FINANCE"/>
          <xsd:enumeration value="Choice 3"/>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oice xmlns="6554f0f3-0605-4421-b410-d212dd1c837f" xsi:nil="true"/>
    <lcf76f155ced4ddcb4097134ff3c332f xmlns="6554f0f3-0605-4421-b410-d212dd1c837f">
      <Terms xmlns="http://schemas.microsoft.com/office/infopath/2007/PartnerControls"/>
    </lcf76f155ced4ddcb4097134ff3c332f>
    <TaxCatchAll xmlns="3fb4b005-a1e9-415f-95e8-b72bee4e82f5" xsi:nil="true"/>
    <Owner xmlns="6554f0f3-0605-4421-b410-d212dd1c837f">
      <UserInfo>
        <DisplayName/>
        <AccountId xsi:nil="true"/>
        <AccountType/>
      </UserInfo>
    </Owner>
    <Reviewdate xmlns="6554f0f3-0605-4421-b410-d212dd1c837f" xsi:nil="true"/>
  </documentManagement>
</p:properties>
</file>

<file path=customXml/itemProps1.xml><?xml version="1.0" encoding="utf-8"?>
<ds:datastoreItem xmlns:ds="http://schemas.openxmlformats.org/officeDocument/2006/customXml" ds:itemID="{EC311C45-CB8B-41C9-90CB-CFFF0A99D27E}"/>
</file>

<file path=customXml/itemProps2.xml><?xml version="1.0" encoding="utf-8"?>
<ds:datastoreItem xmlns:ds="http://schemas.openxmlformats.org/officeDocument/2006/customXml" ds:itemID="{7C64B4FC-7DFF-491B-8E46-546C004FB728}"/>
</file>

<file path=customXml/itemProps3.xml><?xml version="1.0" encoding="utf-8"?>
<ds:datastoreItem xmlns:ds="http://schemas.openxmlformats.org/officeDocument/2006/customXml" ds:itemID="{C884C6CE-1CA2-45FC-A400-4C5E39E68935}"/>
</file>

<file path=docProps/app.xml><?xml version="1.0" encoding="utf-8"?>
<Properties xmlns="http://schemas.openxmlformats.org/officeDocument/2006/extended-properties" xmlns:vt="http://schemas.openxmlformats.org/officeDocument/2006/docPropsVTypes">
  <Template>Normal</Template>
  <TotalTime>1</TotalTime>
  <Pages>3</Pages>
  <Words>646</Words>
  <Characters>3684</Characters>
  <Application>Microsoft Office Word</Application>
  <DocSecurity>0</DocSecurity>
  <Lines>30</Lines>
  <Paragraphs>8</Paragraphs>
  <ScaleCrop>false</ScaleCrop>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Shah</dc:creator>
  <cp:keywords/>
  <dc:description/>
  <cp:lastModifiedBy>Ethan Shah</cp:lastModifiedBy>
  <cp:revision>1</cp:revision>
  <dcterms:created xsi:type="dcterms:W3CDTF">2023-10-06T12:55:00Z</dcterms:created>
  <dcterms:modified xsi:type="dcterms:W3CDTF">2023-10-06T12:56:00Z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0x01010033930D4881B426479DFFD409E83C1F79</vt:lpwstr>
  </property>
</Properties>
</file>