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F5E1" w14:textId="77777777" w:rsidR="00743FCA" w:rsidRDefault="00743FCA" w:rsidP="00743FC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Treatment of the older patient with Glioblastoma</w:t>
      </w:r>
    </w:p>
    <w:p w14:paraId="1666DFBE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3A23100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demographics, treatment and survival for the older population presenting with a diagnosis of Glioblastoma.</w:t>
      </w:r>
    </w:p>
    <w:p w14:paraId="003E9097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B3D9E2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Gliobastoma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the most common primary brain tumour. It has a particularly poor prognosis in older patients.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1 </w:t>
      </w:r>
      <w:r>
        <w:rPr>
          <w:rFonts w:ascii="Arial" w:hAnsi="Arial" w:cs="Arial"/>
          <w:color w:val="343434"/>
          <w:sz w:val="23"/>
          <w:szCs w:val="23"/>
        </w:rPr>
        <w:t>Radical intent treatments are based on trials performed in a younger population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2 </w:t>
      </w:r>
      <w:r>
        <w:rPr>
          <w:rFonts w:ascii="Arial" w:hAnsi="Arial" w:cs="Arial"/>
          <w:color w:val="343434"/>
          <w:sz w:val="23"/>
          <w:szCs w:val="23"/>
        </w:rPr>
        <w:t xml:space="preserve">and there is a lack of consensus on the "standard" treatment for older patients. When treating older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patients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it is critical to balance treatment toxicity with the patient's quality of life, especially given the short median life expectancy. To achieve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this patients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should have a comprehensive assessment prior to treatment with consideration given to co-morbidities, medications and social support. It is also useful to know the MGMT status of the patient's tumour to tailor treatment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3,4,5</w:t>
      </w:r>
      <w:r>
        <w:rPr>
          <w:rFonts w:ascii="Arial" w:hAnsi="Arial" w:cs="Arial"/>
          <w:color w:val="343434"/>
          <w:sz w:val="23"/>
          <w:szCs w:val="23"/>
        </w:rPr>
        <w:t> and this should be carried out if there are resources to do so locally. It is necessary to audit local outcomes to ensure similarity to the national data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05EA6D29" w14:textId="77777777" w:rsidR="00743FCA" w:rsidRDefault="00743FCA" w:rsidP="00743FC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D6A77F8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8890FC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performance status (PS) using either ECOG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6</w:t>
      </w:r>
      <w:r>
        <w:rPr>
          <w:rFonts w:ascii="Arial" w:hAnsi="Arial" w:cs="Arial"/>
          <w:color w:val="343434"/>
          <w:sz w:val="23"/>
          <w:szCs w:val="23"/>
        </w:rPr>
        <w:t> or Karnofsky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7</w:t>
      </w:r>
      <w:r>
        <w:rPr>
          <w:rFonts w:ascii="Arial" w:hAnsi="Arial" w:cs="Arial"/>
          <w:color w:val="343434"/>
          <w:sz w:val="23"/>
          <w:szCs w:val="23"/>
        </w:rPr>
        <w:t> at clinic review. Use of a more comprehensive assessment tool is encouraged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8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4D3019D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Attainment of a histological diagnosis should approximate the national average.</w:t>
      </w:r>
    </w:p>
    <w:p w14:paraId="495C3C4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MGMT status should be assessed in each case when local resources allow.</w:t>
      </w:r>
    </w:p>
    <w:p w14:paraId="72821EB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Nationally reported survival data.</w:t>
      </w:r>
    </w:p>
    <w:p w14:paraId="04E1ADB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0D25843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090FC2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should have performance status assessed.</w:t>
      </w:r>
    </w:p>
    <w:p w14:paraId="55270B2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59% of patients nationally have a histological diagnosis made.</w:t>
      </w:r>
    </w:p>
    <w:p w14:paraId="55E4024E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should have MGMT assessment on their tumour sample.</w:t>
      </w:r>
    </w:p>
    <w:p w14:paraId="27394A8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Information on co-morbidities, medication use, social support and any neurological deficit should be recorded in 100% of patients being considered for active treatment.</w:t>
      </w:r>
    </w:p>
    <w:p w14:paraId="5BED990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Median survival of 3.4 months, as reported in national data.</w:t>
      </w:r>
    </w:p>
    <w:p w14:paraId="451475EA" w14:textId="77777777" w:rsidR="00743FCA" w:rsidRDefault="00743FCA" w:rsidP="00743FC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lastRenderedPageBreak/>
        <w:t>Assess local practice</w:t>
      </w:r>
    </w:p>
    <w:p w14:paraId="3CFC59B7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80A94C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Performance status measured (and which tool used).</w:t>
      </w:r>
    </w:p>
    <w:p w14:paraId="08FB55B7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Recording of histological diagnosis. </w:t>
      </w:r>
    </w:p>
    <w:p w14:paraId="2D140DC5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Site of tumour.</w:t>
      </w:r>
    </w:p>
    <w:p w14:paraId="7561128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Was MGMT measured on the tumour sample if there was a histological diagnosis?</w:t>
      </w:r>
    </w:p>
    <w:p w14:paraId="2811E98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Have co-morbidities, medications, social support and any neurological deficit been documented if the patient is being considered for active treatment?</w:t>
      </w:r>
    </w:p>
    <w:p w14:paraId="52393B0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Overall survival time for each patient (diagnosis to death).</w:t>
      </w:r>
    </w:p>
    <w:p w14:paraId="789B85D0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16974D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DOB and Date of diagnosis</w:t>
      </w:r>
    </w:p>
    <w:p w14:paraId="45B38AA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Oncology appointment: (Y/N)</w:t>
      </w:r>
    </w:p>
    <w:p w14:paraId="13DB3E3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Gender: M/F</w:t>
      </w:r>
    </w:p>
    <w:p w14:paraId="5CEF0B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Performance status:      ECOG/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Karnofsky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/Not recorded</w:t>
      </w:r>
    </w:p>
    <w:p w14:paraId="5990F60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Cognitive screening test: Y/N   Type    Score</w:t>
      </w:r>
    </w:p>
    <w:p w14:paraId="293AD30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Co-morbidities:     Recorded/Not recorded</w:t>
      </w:r>
    </w:p>
    <w:p w14:paraId="50BE18F1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Medications: Recorded/Not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recorded  Steroids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Y/N/NR</w:t>
      </w:r>
    </w:p>
    <w:p w14:paraId="27CFC33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Social support: Y/N/NR</w:t>
      </w:r>
    </w:p>
    <w:p w14:paraId="68821EB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Neurolgical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deficit: Y/N Type    Seizures Y/N/NR</w:t>
      </w:r>
    </w:p>
    <w:p w14:paraId="62E1B36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Site of tumour:  Cerebral hemispheres   Multifocal    Other</w:t>
      </w:r>
    </w:p>
    <w:p w14:paraId="07ACCE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Surgery: Y N Extent</w:t>
      </w:r>
    </w:p>
    <w:p w14:paraId="0B72AC20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Pathology: Y N</w:t>
      </w:r>
    </w:p>
    <w:p w14:paraId="494206C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MGMT status: Methylated  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Unmethylated  NR</w:t>
      </w:r>
      <w:proofErr w:type="gramEnd"/>
    </w:p>
    <w:p w14:paraId="050B51F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Chemotherapy: Y N Type</w:t>
      </w:r>
    </w:p>
    <w:p w14:paraId="1E536D3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Radiotherapy: Y N Dose</w:t>
      </w:r>
    </w:p>
    <w:p w14:paraId="019252BE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Date of death:  Date           or N/A</w:t>
      </w:r>
    </w:p>
    <w:p w14:paraId="657D027C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07D5497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 patients aged 70 and over and then review practice with an aim for improvement of any deficient areas of assessment or treatment of this group of patients. </w:t>
      </w:r>
    </w:p>
    <w:p w14:paraId="1C70D159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F1BF8C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Performance Status Assessment:</w:t>
      </w:r>
    </w:p>
    <w:p w14:paraId="5F22F182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Introduce an assessment proforma to be used in the oncology clinic which is for patients aged 70 and over.</w:t>
      </w:r>
    </w:p>
    <w:p w14:paraId="5A97E98F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Histological diagnosis:</w:t>
      </w:r>
    </w:p>
    <w:p w14:paraId="10E7EAE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MDT discussions with regards to biopsy. Review PS of patients and site of those tumours that were not biopsied.</w:t>
      </w:r>
    </w:p>
    <w:p w14:paraId="2C2BF64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Is MGMT testing available at the local centre? If so, is there a pathway for this to be done routinely on all GBM tumour samples. If not, can testing be introduced?</w:t>
      </w:r>
    </w:p>
    <w:p w14:paraId="2D944236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Additional assessment (co-morbidities, medications, social support):</w:t>
      </w:r>
    </w:p>
    <w:p w14:paraId="2BBCD67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Introduce an assessment proforma which is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specifcally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 patients aged 70 and over. Consider joint neurosurgical/neuro-oncology assessment prior to any intervention to maximise decisions based on QoL. Is there access to an electronic prescribing record for these patients? Ask the patient to bring a list of medications to clinic. </w:t>
      </w:r>
    </w:p>
    <w:p w14:paraId="067CDD64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Overall survival:</w:t>
      </w:r>
    </w:p>
    <w:p w14:paraId="7F45FB59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Consider additional data collection for the next audit cycle looking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specificaly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at appropriateness of treatment given alongside PS of patient (e.g. treatment toxicity). </w:t>
      </w:r>
    </w:p>
    <w:p w14:paraId="3AC8841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Are there novel therapies that can be explored?</w:t>
      </w:r>
    </w:p>
    <w:p w14:paraId="39810CE6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6D8AE85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Brodbelt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A, Greenberg D, Winters T, Williams M, Vernon S, Collins VP. Glioblastoma in England: 2007-2011.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Cancer. 2015; 51(4):533-542.</w:t>
      </w:r>
    </w:p>
    <w:p w14:paraId="61ABEB6C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Stupp R, Mason WP, van den Bent MJ et al. Radiotherapy plus concomitant and adjuvant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temozolomdie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for glioblastoma. New England Journal of Medicine. 2005; 352 (10): 987-996. </w:t>
      </w:r>
    </w:p>
    <w:p w14:paraId="1B73768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Wick W, Platten M, Meisner C, et al. Temozolomide chemotherapy alone versus radiotherapy alone for malignant astrocytoma in the elderly: the NOA-01 randomised, phase 3 trial. Lancet Oncology. 2012; 13(7):707-715. </w:t>
      </w:r>
    </w:p>
    <w:p w14:paraId="3797399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Malmstrom A, Gronberg BH, Marosi C, et al. Temozolomide versus standard 6-week radiotherapy versus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hypofractionated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radiotherapy in patients older than 60 years with </w:t>
      </w:r>
      <w:r>
        <w:rPr>
          <w:rFonts w:ascii="Arial" w:hAnsi="Arial" w:cs="Arial"/>
          <w:color w:val="343434"/>
          <w:sz w:val="23"/>
          <w:szCs w:val="23"/>
        </w:rPr>
        <w:lastRenderedPageBreak/>
        <w:t>glioblastoma: the Nordic randomised, phase 3 trial. Lancet Oncology. 2012; 13(9):916-926. </w:t>
      </w:r>
    </w:p>
    <w:p w14:paraId="3F8A1FB1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5. Perry JR, Laperriere N, O'Callaghan CJ, Brandes AA et al. Short-course Radiation plus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Temozolamide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elderly patients with Glioblastoma. New England Journal of Medicine. 2017; 376:1027-1037. </w:t>
      </w:r>
    </w:p>
    <w:p w14:paraId="30EE931B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 Oken M, Creech R, Tormey D, et al. Toxicity and response criteria of the Eastern Cooperative Oncology Group. Am J Clin Oncol.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1982;5:649</w:t>
      </w:r>
      <w:proofErr w:type="gramEnd"/>
      <w:r>
        <w:rPr>
          <w:rFonts w:ascii="Arial" w:hAnsi="Arial" w:cs="Arial"/>
          <w:color w:val="343434"/>
          <w:sz w:val="23"/>
          <w:szCs w:val="23"/>
        </w:rPr>
        <w:t>-655.</w:t>
      </w:r>
    </w:p>
    <w:p w14:paraId="4B8E496D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7. 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Karnofsky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Burchenal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The clinical evaluation of chemotherapeutic agents in cancer. In: MacLeod C, ed. Evaluation of Chemotherapeutic Agents. New York, NY: Columbia University Press; 1949:191–205.</w:t>
      </w:r>
    </w:p>
    <w:p w14:paraId="2CA3B38A" w14:textId="77777777" w:rsidR="00743FCA" w:rsidRDefault="00743FCA" w:rsidP="00743FC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8. Weitzner MA, Meyers CA,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Gelke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CK et al. The functional assessment of cancer therapy (FACT) scale: development of a brain subscale and revalidation of the general version (FACT-G) in patients with primary brain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tumors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 Cancer75(5), 1151–1161 (1995).</w:t>
      </w:r>
    </w:p>
    <w:p w14:paraId="1F2B7FEA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2D6F21F" w14:textId="77777777" w:rsidR="00743FCA" w:rsidRDefault="00743FCA" w:rsidP="00743FC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5 September 2019</w:t>
      </w:r>
    </w:p>
    <w:p w14:paraId="6B137F5A" w14:textId="77777777" w:rsidR="00743FCA" w:rsidRDefault="00743FCA" w:rsidP="00743FCA">
      <w:pPr>
        <w:rPr>
          <w:rFonts w:ascii="Times New Roman" w:hAnsi="Times New Roman" w:cs="Times New Roman"/>
          <w:sz w:val="24"/>
          <w:szCs w:val="24"/>
        </w:rPr>
      </w:pPr>
    </w:p>
    <w:p w14:paraId="660995B5" w14:textId="77777777" w:rsidR="00743FCA" w:rsidRDefault="00743FCA" w:rsidP="00743FC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8C11DE4" w14:textId="0EDDDF10" w:rsidR="00743FCA" w:rsidRDefault="00630A03" w:rsidP="00743FC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</w:t>
      </w:r>
      <w:r w:rsidR="00743FCA">
        <w:rPr>
          <w:rStyle w:val="date-display-single"/>
          <w:rFonts w:ascii="Arial" w:hAnsi="Arial" w:cs="Arial"/>
          <w:color w:val="343434"/>
          <w:sz w:val="23"/>
          <w:szCs w:val="23"/>
        </w:rPr>
        <w:t xml:space="preserve"> </w:t>
      </w:r>
      <w:r>
        <w:rPr>
          <w:rStyle w:val="date-display-single"/>
          <w:rFonts w:ascii="Arial" w:hAnsi="Arial" w:cs="Arial"/>
          <w:color w:val="343434"/>
          <w:sz w:val="23"/>
          <w:szCs w:val="23"/>
        </w:rPr>
        <w:t>2</w:t>
      </w:r>
      <w:r w:rsidR="00743FCA">
        <w:rPr>
          <w:rStyle w:val="date-display-single"/>
          <w:rFonts w:ascii="Arial" w:hAnsi="Arial" w:cs="Arial"/>
          <w:color w:val="343434"/>
          <w:sz w:val="23"/>
          <w:szCs w:val="23"/>
        </w:rPr>
        <w:t xml:space="preserve"> Ma</w:t>
      </w:r>
      <w:r>
        <w:rPr>
          <w:rStyle w:val="date-display-single"/>
          <w:rFonts w:ascii="Arial" w:hAnsi="Arial" w:cs="Arial"/>
          <w:color w:val="343434"/>
          <w:sz w:val="23"/>
          <w:szCs w:val="23"/>
        </w:rPr>
        <w:t>y</w:t>
      </w:r>
      <w:r w:rsidR="00743FCA">
        <w:rPr>
          <w:rStyle w:val="date-display-single"/>
          <w:rFonts w:ascii="Arial" w:hAnsi="Arial" w:cs="Arial"/>
          <w:color w:val="343434"/>
          <w:sz w:val="23"/>
          <w:szCs w:val="23"/>
        </w:rPr>
        <w:t xml:space="preserve"> 20</w:t>
      </w:r>
      <w:r>
        <w:rPr>
          <w:rStyle w:val="date-display-single"/>
          <w:rFonts w:ascii="Arial" w:hAnsi="Arial" w:cs="Arial"/>
          <w:color w:val="343434"/>
          <w:sz w:val="23"/>
          <w:szCs w:val="23"/>
        </w:rPr>
        <w:t>24</w:t>
      </w:r>
    </w:p>
    <w:p w14:paraId="7C0A2111" w14:textId="3D879B8A" w:rsidR="000D3E1E" w:rsidRDefault="000D3E1E" w:rsidP="00743FC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630A03"/>
    <w:rsid w:val="00743FCA"/>
    <w:rsid w:val="00C303B7"/>
    <w:rsid w:val="00D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  <w:style w:type="character" w:styleId="Strong">
    <w:name w:val="Strong"/>
    <w:basedOn w:val="DefaultParagraphFont"/>
    <w:uiPriority w:val="22"/>
    <w:qFormat/>
    <w:rsid w:val="0074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7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0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AF969-6F8E-4308-8800-86A3D950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54EE-7A19-4830-82DB-9090CBACE96E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04F9D4AF-2711-47A0-AD8C-12B11E82C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Katherine Bailey</cp:lastModifiedBy>
  <cp:revision>2</cp:revision>
  <dcterms:created xsi:type="dcterms:W3CDTF">2024-07-31T14:34:00Z</dcterms:created>
  <dcterms:modified xsi:type="dcterms:W3CDTF">2024-07-31T14:34:00Z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