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58327" w14:textId="77777777" w:rsidR="0071015F" w:rsidRDefault="0071015F" w:rsidP="0071015F">
      <w:pPr>
        <w:pStyle w:val="Heading1"/>
        <w:shd w:val="clear" w:color="auto" w:fill="FFFFFF"/>
        <w:spacing w:before="0" w:beforeAutospacing="0" w:after="225" w:afterAutospacing="0"/>
        <w:rPr>
          <w:rFonts w:ascii="Arial" w:hAnsi="Arial" w:cs="Arial"/>
          <w:color w:val="007CBE"/>
          <w:spacing w:val="-15"/>
          <w:sz w:val="50"/>
          <w:szCs w:val="50"/>
        </w:rPr>
      </w:pPr>
      <w:r>
        <w:rPr>
          <w:rFonts w:ascii="Arial" w:hAnsi="Arial" w:cs="Arial"/>
          <w:color w:val="007CBE"/>
          <w:spacing w:val="-15"/>
          <w:sz w:val="50"/>
          <w:szCs w:val="50"/>
        </w:rPr>
        <w:t>Staging for Limited Disease SCLC and impact of PET/CT</w:t>
      </w:r>
    </w:p>
    <w:p w14:paraId="24FEEE06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Descriptor: </w:t>
      </w:r>
    </w:p>
    <w:p w14:paraId="62FE2B74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To assess if all patients with limited disease small cell lung cancer were staged with brain imaging.</w:t>
      </w:r>
    </w:p>
    <w:p w14:paraId="4BD5E1B9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Background: </w:t>
      </w:r>
    </w:p>
    <w:p w14:paraId="67415537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Small cell lung cancer is an aggressive malignancy but if treated with chemotherapy and radiotherapy at the limited disease (LD) stage can be cured (1). NICE advocates staging with brain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imaging, and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alludes to a PET/CT scan for radical lung therapy (2). In contrast to NSCLC (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3 )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the impact of PET/CT staging has not been clearly defined ( 4). We have local guidelines that recommend brain imaging and PET/CT for LD SCLC. </w:t>
      </w:r>
    </w:p>
    <w:p w14:paraId="506F051B" w14:textId="77777777" w:rsidR="0071015F" w:rsidRDefault="0071015F" w:rsidP="0071015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The Cycle</w:t>
      </w:r>
    </w:p>
    <w:p w14:paraId="4E23CCC0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The standard: </w:t>
      </w:r>
    </w:p>
    <w:p w14:paraId="4E72C9D3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All patients with LD SCLC should be appropriately staged with brain imaging.</w:t>
      </w:r>
    </w:p>
    <w:p w14:paraId="24B588F5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Target: </w:t>
      </w:r>
    </w:p>
    <w:p w14:paraId="6353E8A8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Brain staging for those given radical lung radiotherapy 100%. PET /CT staging considered in 100%</w:t>
      </w:r>
    </w:p>
    <w:p w14:paraId="25116414" w14:textId="77777777" w:rsidR="0071015F" w:rsidRDefault="0071015F" w:rsidP="0071015F">
      <w:pPr>
        <w:pStyle w:val="Heading2"/>
        <w:shd w:val="clear" w:color="auto" w:fill="FFFFFF"/>
        <w:spacing w:before="0" w:after="180"/>
        <w:rPr>
          <w:rFonts w:ascii="Arial" w:hAnsi="Arial" w:cs="Arial"/>
          <w:color w:val="007CBE"/>
          <w:sz w:val="36"/>
          <w:szCs w:val="36"/>
        </w:rPr>
      </w:pPr>
      <w:r>
        <w:rPr>
          <w:rFonts w:ascii="Arial" w:hAnsi="Arial" w:cs="Arial"/>
          <w:color w:val="007CBE"/>
        </w:rPr>
        <w:t>Assess local practice</w:t>
      </w:r>
    </w:p>
    <w:p w14:paraId="27390E16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Indicators: </w:t>
      </w:r>
    </w:p>
    <w:p w14:paraId="52DE2C05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Brain staging for those given radical lung radiotherapy 100%. PET /CT staging 100%</w:t>
      </w:r>
    </w:p>
    <w:p w14:paraId="304BA757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Data items to be collected: </w:t>
      </w:r>
    </w:p>
    <w:p w14:paraId="615F812E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Search local database of all patients treated within radical lung radiotherapy during a certain time frame to determine the number of LD SCLC patients staged with a PET/CT scan and their outcomes.</w:t>
      </w:r>
    </w:p>
    <w:p w14:paraId="27EBB3FA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Additional data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was should be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acquired on whether a patient needed to be treated with urgent / emergency chemotherapy (for conditions such as SVCO) which may have prevented them accessing a PET/CT scan.</w:t>
      </w:r>
    </w:p>
    <w:p w14:paraId="186457BD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Suggested number: </w:t>
      </w:r>
    </w:p>
    <w:p w14:paraId="5C869FF0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50 patients</w:t>
      </w:r>
    </w:p>
    <w:p w14:paraId="33B28F75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Suggestions for change if target not met: </w:t>
      </w:r>
    </w:p>
    <w:p w14:paraId="64364A1A" w14:textId="77777777" w:rsidR="0071015F" w:rsidRDefault="0071015F" w:rsidP="0071015F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lastRenderedPageBreak/>
        <w:t>Feed back to MDMs and clinicians about staging guidelines for brain imaging. In an era of constraints on PET/CT imaging PET/CT scanning should not be viewed as compulsory.</w:t>
      </w:r>
    </w:p>
    <w:p w14:paraId="11C5B60B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References: </w:t>
      </w:r>
    </w:p>
    <w:p w14:paraId="68E57B5E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1. Curran W et 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“ Sequential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vs Concurrent Chemoradiation for Stage III Non–Small Cell Lung Cancer: Randomized Phase III Trial RTOG 9410” JNCI 2011; 103 (19) : 1452 – 1460</w:t>
      </w:r>
    </w:p>
    <w:p w14:paraId="46BAA7E7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2. NICE guidance CG 121 Lung cancer: diagnosis and management; </w:t>
      </w:r>
      <w:hyperlink r:id="rId8" w:tgtFrame="_blank" w:history="1">
        <w:r>
          <w:rPr>
            <w:rStyle w:val="Hyperlink"/>
            <w:rFonts w:ascii="Arial" w:hAnsi="Arial" w:cs="Arial"/>
            <w:color w:val="007CBE"/>
            <w:sz w:val="23"/>
            <w:szCs w:val="23"/>
          </w:rPr>
          <w:t>https://www.nice.org.uk/guidance/cg121?unlid=6344740562016101116919</w:t>
        </w:r>
      </w:hyperlink>
    </w:p>
    <w:p w14:paraId="01C83232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3.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Kalff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V et al “Clinical Impact of 18F Fluorodeoxyglucose Positron Emission Tomography in Patients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With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Non–Small-Cell Lung Cancer: A Prospective Study” JCO 2001; 19(1) 111-118</w:t>
      </w:r>
    </w:p>
    <w:p w14:paraId="783A6381" w14:textId="77777777" w:rsidR="0071015F" w:rsidRDefault="0071015F" w:rsidP="007101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 w:line="312" w:lineRule="atLeast"/>
        <w:ind w:left="1020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 xml:space="preserve">4. Van loon J et al </w:t>
      </w:r>
      <w:proofErr w:type="gramStart"/>
      <w:r>
        <w:rPr>
          <w:rFonts w:ascii="Arial" w:hAnsi="Arial" w:cs="Arial"/>
          <w:color w:val="343434"/>
          <w:sz w:val="23"/>
          <w:szCs w:val="23"/>
        </w:rPr>
        <w:t>“ Selective</w:t>
      </w:r>
      <w:proofErr w:type="gramEnd"/>
      <w:r>
        <w:rPr>
          <w:rFonts w:ascii="Arial" w:hAnsi="Arial" w:cs="Arial"/>
          <w:color w:val="343434"/>
          <w:sz w:val="23"/>
          <w:szCs w:val="23"/>
        </w:rPr>
        <w:t xml:space="preserve"> nodal irradiation on basis of 18FDG PET scans in limited disease small cell lung cancer: a </w:t>
      </w:r>
      <w:proofErr w:type="spellStart"/>
      <w:r>
        <w:rPr>
          <w:rFonts w:ascii="Arial" w:hAnsi="Arial" w:cs="Arial"/>
          <w:color w:val="343434"/>
          <w:sz w:val="23"/>
          <w:szCs w:val="23"/>
        </w:rPr>
        <w:t>propsective</w:t>
      </w:r>
      <w:proofErr w:type="spellEnd"/>
      <w:r>
        <w:rPr>
          <w:rFonts w:ascii="Arial" w:hAnsi="Arial" w:cs="Arial"/>
          <w:color w:val="343434"/>
          <w:sz w:val="23"/>
          <w:szCs w:val="23"/>
        </w:rPr>
        <w:t xml:space="preserve"> study” IJRBOP 2010 77(2): 329-336</w:t>
      </w:r>
    </w:p>
    <w:p w14:paraId="730846AC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Submitted by: </w:t>
      </w:r>
    </w:p>
    <w:p w14:paraId="1F8C1A2A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Ryan Wilson</w:t>
      </w:r>
    </w:p>
    <w:p w14:paraId="5CD48377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>
        <w:rPr>
          <w:rFonts w:ascii="Arial" w:hAnsi="Arial" w:cs="Arial"/>
          <w:b/>
          <w:bCs/>
          <w:color w:val="00467F"/>
          <w:sz w:val="32"/>
          <w:szCs w:val="32"/>
        </w:rPr>
        <w:t>Co-authors: </w:t>
      </w:r>
    </w:p>
    <w:p w14:paraId="5FC44DA3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Jonathan McAleese</w:t>
      </w:r>
    </w:p>
    <w:p w14:paraId="08E34527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Thomas Lynch</w:t>
      </w:r>
    </w:p>
    <w:p w14:paraId="11E0A1F7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Fonts w:ascii="Arial" w:hAnsi="Arial" w:cs="Arial"/>
          <w:color w:val="343434"/>
          <w:sz w:val="23"/>
          <w:szCs w:val="23"/>
        </w:rPr>
        <w:t>Gerard G. Hanna</w:t>
      </w:r>
    </w:p>
    <w:p w14:paraId="71B24E6E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Published Date: </w:t>
      </w:r>
    </w:p>
    <w:p w14:paraId="6077B9A9" w14:textId="77777777" w:rsidR="0071015F" w:rsidRDefault="0071015F" w:rsidP="0071015F">
      <w:pPr>
        <w:shd w:val="clear" w:color="auto" w:fill="FFFFFF"/>
        <w:rPr>
          <w:rFonts w:ascii="Arial" w:hAnsi="Arial" w:cs="Arial"/>
          <w:color w:val="343434"/>
          <w:sz w:val="23"/>
          <w:szCs w:val="23"/>
        </w:rPr>
      </w:pPr>
      <w:r>
        <w:rPr>
          <w:rStyle w:val="date-display-single"/>
          <w:rFonts w:ascii="Arial" w:hAnsi="Arial" w:cs="Arial"/>
          <w:color w:val="343434"/>
          <w:sz w:val="23"/>
          <w:szCs w:val="23"/>
        </w:rPr>
        <w:t>Saturday 14 March 2020</w:t>
      </w:r>
    </w:p>
    <w:p w14:paraId="6C1A7138" w14:textId="77777777" w:rsidR="0071015F" w:rsidRDefault="0071015F" w:rsidP="0071015F">
      <w:pPr>
        <w:rPr>
          <w:rFonts w:ascii="Times New Roman" w:hAnsi="Times New Roman" w:cs="Times New Roman"/>
          <w:sz w:val="24"/>
          <w:szCs w:val="24"/>
        </w:rPr>
      </w:pPr>
    </w:p>
    <w:p w14:paraId="4D764F9A" w14:textId="77777777" w:rsidR="0071015F" w:rsidRDefault="0071015F" w:rsidP="0071015F">
      <w:pPr>
        <w:shd w:val="clear" w:color="auto" w:fill="FFFFFF"/>
        <w:rPr>
          <w:rFonts w:ascii="Arial" w:hAnsi="Arial" w:cs="Arial"/>
          <w:b/>
          <w:bCs/>
          <w:color w:val="007CBE"/>
          <w:sz w:val="23"/>
          <w:szCs w:val="23"/>
        </w:rPr>
      </w:pPr>
      <w:r>
        <w:rPr>
          <w:rFonts w:ascii="Arial" w:hAnsi="Arial" w:cs="Arial"/>
          <w:b/>
          <w:bCs/>
          <w:color w:val="007CBE"/>
          <w:sz w:val="23"/>
          <w:szCs w:val="23"/>
        </w:rPr>
        <w:t>Last Reviewed: </w:t>
      </w:r>
    </w:p>
    <w:p w14:paraId="7C0A2111" w14:textId="1A0DBA8D" w:rsidR="000D3E1E" w:rsidRDefault="00115165" w:rsidP="0071015F">
      <w:pPr>
        <w:shd w:val="clear" w:color="auto" w:fill="FFFFFF"/>
        <w:rPr>
          <w:rFonts w:ascii="Arial" w:hAnsi="Arial" w:cs="Arial"/>
          <w:b/>
          <w:bCs/>
          <w:color w:val="00467F"/>
          <w:sz w:val="32"/>
          <w:szCs w:val="32"/>
        </w:rPr>
      </w:pPr>
      <w:r w:rsidRPr="00115165">
        <w:rPr>
          <w:rStyle w:val="date-display-single"/>
          <w:rFonts w:ascii="Arial" w:hAnsi="Arial" w:cs="Arial"/>
          <w:color w:val="343434"/>
          <w:sz w:val="23"/>
          <w:szCs w:val="23"/>
        </w:rPr>
        <w:t>Thursday 2 May 2024</w:t>
      </w:r>
    </w:p>
    <w:sectPr w:rsidR="000D3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87EB0"/>
    <w:multiLevelType w:val="multilevel"/>
    <w:tmpl w:val="ED0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AE6520"/>
    <w:multiLevelType w:val="multilevel"/>
    <w:tmpl w:val="B43C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5912503">
    <w:abstractNumId w:val="0"/>
  </w:num>
  <w:num w:numId="2" w16cid:durableId="1037319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1E"/>
    <w:rsid w:val="000D3E1E"/>
    <w:rsid w:val="00115165"/>
    <w:rsid w:val="00194E7C"/>
    <w:rsid w:val="001D3DCA"/>
    <w:rsid w:val="0071015F"/>
    <w:rsid w:val="00B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95C88"/>
  <w15:chartTrackingRefBased/>
  <w15:docId w15:val="{CF3561D1-D83D-467D-BC12-2D755FA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3E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E1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file-wrapper">
    <w:name w:val="file-wrapper"/>
    <w:basedOn w:val="DefaultParagraphFont"/>
    <w:rsid w:val="000D3E1E"/>
  </w:style>
  <w:style w:type="character" w:styleId="Hyperlink">
    <w:name w:val="Hyperlink"/>
    <w:basedOn w:val="DefaultParagraphFont"/>
    <w:uiPriority w:val="99"/>
    <w:semiHidden/>
    <w:unhideWhenUsed/>
    <w:rsid w:val="000D3E1E"/>
    <w:rPr>
      <w:color w:val="0000FF"/>
      <w:u w:val="single"/>
    </w:rPr>
  </w:style>
  <w:style w:type="character" w:customStyle="1" w:styleId="file-meta">
    <w:name w:val="file-meta"/>
    <w:basedOn w:val="DefaultParagraphFont"/>
    <w:rsid w:val="000D3E1E"/>
  </w:style>
  <w:style w:type="character" w:customStyle="1" w:styleId="file-type">
    <w:name w:val="file-type"/>
    <w:basedOn w:val="DefaultParagraphFont"/>
    <w:rsid w:val="000D3E1E"/>
  </w:style>
  <w:style w:type="character" w:customStyle="1" w:styleId="file-size">
    <w:name w:val="file-size"/>
    <w:basedOn w:val="DefaultParagraphFont"/>
    <w:rsid w:val="000D3E1E"/>
  </w:style>
  <w:style w:type="character" w:customStyle="1" w:styleId="date-display-single">
    <w:name w:val="date-display-single"/>
    <w:basedOn w:val="DefaultParagraphFont"/>
    <w:rsid w:val="000D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330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0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6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69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78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9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9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673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13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3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54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790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3518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5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196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121?unlid=634474056201610111691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5" ma:contentTypeDescription="Create a new document." ma:contentTypeScope="" ma:versionID="55333fccc9f88f3ecd7cc02b0fe97f9c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90b37e3419317c12742b60d7a75f511e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297D2397-6EF3-4E64-9A37-CD81979016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E01BE-71A0-42FE-AA84-3D7EECA4B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30B0B-0CB6-4956-902D-96D08408603F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Leslie</dc:creator>
  <cp:keywords/>
  <dc:description/>
  <cp:lastModifiedBy>Daniel Smith</cp:lastModifiedBy>
  <cp:revision>2</cp:revision>
  <dcterms:created xsi:type="dcterms:W3CDTF">2024-08-07T10:25:00Z</dcterms:created>
  <dcterms:modified xsi:type="dcterms:W3CDTF">2024-08-07T10:25:00Z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